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X63caa9cd0d043672a65c316c155f082d430b889"/>
    <w:p>
      <w:pPr>
        <w:pStyle w:val="Heading2"/>
      </w:pPr>
      <w:r>
        <w:t xml:space="preserve">Các lý thuyết nền và khung lý thuyết phân tầng CIMT–ICRV–CDCM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phát triển một</w:t>
      </w:r>
      <w:r>
        <w:t xml:space="preserve"> </w:t>
      </w:r>
      <w:r>
        <w:rPr>
          <w:bCs/>
          <w:b/>
        </w:rPr>
        <w:t xml:space="preserve">khung lý thuyết phân tầng ba lớp</w:t>
      </w:r>
      <w:r>
        <w:t xml:space="preserve"> </w:t>
      </w:r>
      <w:r>
        <w:t xml:space="preserve">(chi tiết tại Chương 2 §2.5.1–2.5.4). Lớp một là</w:t>
      </w:r>
      <w:r>
        <w:t xml:space="preserve"> </w:t>
      </w:r>
      <w:r>
        <w:rPr>
          <w:bCs/>
          <w:b/>
        </w:rPr>
        <w:t xml:space="preserve">CIMT (Capability–Institution Mismatch Theory)</w:t>
      </w:r>
      <w:r>
        <w:t xml:space="preserve"> </w:t>
      </w:r>
      <w:r>
        <w:t xml:space="preserve">— cơ chế lý thuyết bao trùm tầm trung (Merton, 1968; Whetten, 1989; Corley &amp; Gioia, 2011) tích hợp ba kênh đã được khẳng định: rent protection (Kogut &amp; Zander, 1993; Zaheer, 1995), liability-of-foreignness attenuation (Peng et al., 2008), và institutional-void amplification (Khanna &amp; Palepu, 2010), giải thích vì sao hiệu quả I-P thay đổi khi năng lực doanh nghiệp và môi trường thể chế lệch pha. Lớp hai là</w:t>
      </w:r>
      <w:r>
        <w:t xml:space="preserve"> </w:t>
      </w:r>
      <w:r>
        <w:rPr>
          <w:bCs/>
          <w:b/>
        </w:rPr>
        <w:t xml:space="preserve">ICRV (Institutional Context Regime Variation)</w:t>
      </w:r>
      <w:r>
        <w:t xml:space="preserve"> </w:t>
      </w:r>
      <w:r>
        <w:t xml:space="preserve">— taxonomy phân loại 45 nền kinh tế trên hai trục (institutional capability × resource vulnerability) thành sáu nhóm chế độ. Lớp ba là</w:t>
      </w:r>
      <w:r>
        <w:t xml:space="preserve"> </w:t>
      </w:r>
      <w:r>
        <w:rPr>
          <w:bCs/>
          <w:b/>
        </w:rPr>
        <w:t xml:space="preserve">CDCM (Context-Contingent Digital-and-Capability Model)</w:t>
      </w:r>
      <w:r>
        <w:t xml:space="preserve"> </w:t>
      </w:r>
      <w:r>
        <w:t xml:space="preserve">— biểu hiện thực nghiệm cấp doanh nghiệp dưới điều kiện số hóa, với TCI và DAI tách riêng để kiểm định observable signature của CIMT. Trong khung này, FSTS là biến độc lập chính và năng suất lao động là biến phụ thuộc; đặc điểm nhà quản trị cấp cao là khối kiểm soát quản trị nội sinh.</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khung phân tầng CIMT–ICRV–CDCM,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87,8% được phân tách thành 76,1% ở tầng 2 (trong nghiên cứu) và 11,8%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vững chắc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dải biến thiên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vững chắc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eb3250ac8e3491cd2431bc2ba518186336d526f"/>
    <w:p>
      <w:pPr>
        <w:pStyle w:val="Heading2"/>
      </w:pPr>
      <w:r>
        <w:t xml:space="preserve">Bàn luận kết quả theo khung lý thuyết phân tầng CIMT–ICRV–CDCM</w:t>
      </w:r>
    </w:p>
    <w:bookmarkStart w:id="39" w:name="X7839966215dea78300daf34b71435f48f44cd16"/>
    <w:p>
      <w:pPr>
        <w:pStyle w:val="Heading3"/>
      </w:pPr>
      <w:r>
        <w:t xml:space="preserve">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signature đảo dấu từ chữ U ngược thành quan hệ âm đơn điệu. FIP là biểu hiện của trường hợp khi</w:t>
      </w:r>
      <w:r>
        <w:t xml:space="preserve"> </w:t>
      </w:r>
      <w:r>
        <w:rPr>
          <w:bCs/>
          <w:b/>
        </w:rPr>
        <w:t xml:space="preserve">cả ba lớp của khung phân tầng CIMT–ICRV–CDCM</w:t>
      </w:r>
      <w:r>
        <w:t xml:space="preserve"> </w:t>
      </w:r>
      <w:r>
        <w:t xml:space="preserve">— taxonomy ICRV ở vị trí Nhóm VI (SIDS), CIMT mismatch cực đại, và CDCM signature triệt tiêu —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X62295425cee35ba155eae5825c47c4815b204a9"/>
    <w:p>
      <w:pPr>
        <w:pStyle w:val="Heading3"/>
      </w:pPr>
      <w:r>
        <w:t xml:space="preserve">CIMT là umbrella + CDCM signature làm rõ DAI là nguồn lực tình huống</w:t>
      </w:r>
    </w:p>
    <w:p>
      <w:pPr>
        <w:pStyle w:val="FirstParagraph"/>
      </w:pPr>
      <w:r>
        <w:t xml:space="preserve">Đóng góp lý thuyết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khẳng định thành một mechanism thống nhất, neo trên taxonomy ICRV và quan sát được qua signature CDCM. Bên trong khung này, đóng góp signature-level là làm rõ</w:t>
      </w:r>
      <w:r>
        <w:t xml:space="preserve"> </w:t>
      </w:r>
      <w:r>
        <w:rPr>
          <w:bCs/>
          <w:b/>
        </w:rPr>
        <w:t xml:space="preserve">bản chất của DAI</w:t>
      </w:r>
      <w:r>
        <w:t xml:space="preserve"> </w:t>
      </w:r>
      <w:r>
        <w:t xml:space="preserve">trong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2026-06-04T01:21:07Z</dcterms:created>
  <dcterms:modified xsi:type="dcterms:W3CDTF">2026-06-04T01:21:07Z</dcterms:modified>
</cp:coreProperties>
</file>

<file path=docProps/custom.xml><?xml version="1.0" encoding="utf-8"?>
<Properties xmlns="http://schemas.openxmlformats.org/officeDocument/2006/custom-properties" xmlns:vt="http://schemas.openxmlformats.org/officeDocument/2006/docPropsVTypes"/>
</file>