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t xml:space="preserve">1 June 2026</w:t>
      </w:r>
    </w:p>
    <w:p>
      <w:pPr>
        <w:pStyle w:val="BodyText"/>
      </w:pPr>
      <w:r>
        <w:t xml:space="preserve">The Editor-in-Chief</w:t>
      </w:r>
      <w:r>
        <w:t xml:space="preserve"> </w:t>
      </w:r>
      <w:r>
        <w:rPr>
          <w:iCs/>
          <w:i/>
        </w:rPr>
        <w:t xml:space="preserve">Journal of Economics and Development</w:t>
      </w:r>
      <w:r>
        <w:t xml:space="preserve"> </w:t>
      </w:r>
      <w:r>
        <w:t xml:space="preserve">Emerald Publishing on behalf of National Economics University (NEU)</w:t>
      </w:r>
    </w:p>
    <w:p>
      <w:r>
        <w:pict>
          <v:rect style="width:0;height:1.5pt" o:hralign="center" o:hrstd="t" o:hr="t"/>
        </w:pict>
      </w:r>
    </w:p>
    <w:p>
      <w:pPr>
        <w:pStyle w:val="FirstParagraph"/>
      </w:pPr>
      <w:r>
        <w:rPr>
          <w:bCs/>
          <w:b/>
        </w:rPr>
        <w:t xml:space="preserve">Submission of Manuscript: "Revisiting the Internationalisation–Performance Relationship in an Emerging Market: The Roles of Technological Capability and Foundational Digital Adoption"</w:t>
      </w:r>
    </w:p>
    <w:p>
      <w:pPr>
        <w:pStyle w:val="BodyText"/>
      </w:pPr>
      <w:r>
        <w:t xml:space="preserve">Dear Editor-in-Chief,</w:t>
      </w:r>
    </w:p>
    <w:p>
      <w:pPr>
        <w:pStyle w:val="BodyText"/>
      </w:pPr>
      <w:r>
        <w:t xml:space="preserve">We are pleased to submit the above manuscript for consideration for publication in the</w:t>
      </w:r>
      <w:r>
        <w:t xml:space="preserve"> </w:t>
      </w:r>
      <w:r>
        <w:rPr>
          <w:iCs/>
          <w:i/>
        </w:rPr>
        <w:t xml:space="preserve">Journal of Economics and Development</w:t>
      </w:r>
      <w:r>
        <w:t xml:space="preserve"> </w:t>
      </w:r>
      <w:r>
        <w:t xml:space="preserve">(JED). The paper presents an empirical study of the internationalisation–performance (I–P) relationship using three waves of World Bank Enterprise Survey data for Vietnam (2009, 2015, 2023; N = 2,958), directly aligned with JED's mandate to advance scholarly research on economics and development in transition economies with a particular focus on developing-country contexts.</w:t>
      </w:r>
    </w:p>
    <w:p>
      <w:pPr>
        <w:pStyle w:val="BodyText"/>
      </w:pPr>
      <w:r>
        <w:rPr>
          <w:bCs/>
          <w:b/>
        </w:rPr>
        <w:t xml:space="preserve">Fit with JED</w:t>
      </w:r>
    </w:p>
    <w:p>
      <w:pPr>
        <w:pStyle w:val="BodyText"/>
      </w:pPr>
      <w:r>
        <w:t xml:space="preserve">JED is a natural venue for this work for three reasons. First, the journal's editorial mission explicitly prioritises sustainability-oriented economics and development research in developing and transition economies — exactly the analytical lens of the present study. Vietnam serves not as a parochial case but as a theoretically informative setting in which to test boundary conditions on the digital-internationalisation and institutional-voids literatures, with direct relevance to JED's readership of development economists, policy makers, and management scholars working on emerging Asia. Second, the three-wave design (spanning WTO accession in 2007, CPTPP ratification in 2019, and the post-COVID digital-economy push in 2023) lets us trace how an institutional trajectory reshapes a capability–performance link over fourteen years — the kind of long-horizon, policy-relevant evidence that aligns with JED's stated interest in evaluating economic-policy episodes and drawing lessons for Vietnam's sustainable-growth agenda. Third, the paper engages the cross-national I–P debate (e.g., Wu, Fan, &amp; Chen, 2022,</w:t>
      </w:r>
      <w:r>
        <w:t xml:space="preserve"> </w:t>
      </w:r>
      <w:r>
        <w:rPr>
          <w:iCs/>
          <w:i/>
        </w:rPr>
        <w:t xml:space="preserve">Management International Review</w:t>
      </w:r>
      <w:r>
        <w:t xml:space="preserve">) to show that within-country institutional context preserves functional-form regularity that pooled cross-national estimates obscure — a methodological contribution to JED's growing portfolio on Vietnamese firm-performance research.</w:t>
      </w:r>
    </w:p>
    <w:p>
      <w:pPr>
        <w:pStyle w:val="BodyText"/>
      </w:pPr>
      <w:r>
        <w:rPr>
          <w:bCs/>
          <w:b/>
        </w:rPr>
        <w:t xml:space="preserve">Key Contributions</w:t>
      </w:r>
    </w:p>
    <w:p>
      <w:pPr>
        <w:pStyle w:val="BodyText"/>
      </w:pPr>
      <w:r>
        <w:t xml:space="preserve">First, the study provides multi-wave within-country evidence that the apparent inverted-U between export intensity and labour productivity is structurally durable in standard FSTS-and-FSTS² specifications: turning points cluster at 39–46% across all three waves (Lind–Mehlum test p ≤ .013 per wave; p &lt; .001 pooled), a 7-percentage-point band sustained through 14 years of major institutional change. Critically, decomposition shows this is best read as a</w:t>
      </w:r>
      <w:r>
        <w:t xml:space="preserve"> </w:t>
      </w:r>
      <w:r>
        <w:rPr>
          <w:iCs/>
          <w:i/>
        </w:rPr>
        <w:t xml:space="preserve">step function across the export-participation barrier</w:t>
      </w:r>
      <w:r>
        <w:t xml:space="preserve"> </w:t>
      </w:r>
      <w:r>
        <w:t xml:space="preserve">— when refit on the exporter-only subsample the quadratic FSTS term collapses to non-significance (β = −0.200, p = .660) — consistent with the well-established trade-and-selection mechanisms of Melitz (2003), Wagner (2007), and Bernard et al. (2007, 2012). Our contribution is to document that in three Vietnamese WBES cross-sections, the participation-margin effect is large enough to explain the</w:t>
      </w:r>
      <w:r>
        <w:t xml:space="preserve"> </w:t>
      </w:r>
      <w:r>
        <w:rPr>
          <w:iCs/>
          <w:i/>
        </w:rPr>
        <w:t xml:space="preserve">entire</w:t>
      </w:r>
      <w:r>
        <w:t xml:space="preserve"> </w:t>
      </w:r>
      <w:r>
        <w:t xml:space="preserve">apparent inverted-U; we therefore qualify rather than overturn the cross-national skepticism of Pisani, Garcia-Bernardo, and Heemskerk (2020,</w:t>
      </w:r>
      <w:r>
        <w:t xml:space="preserve"> </w:t>
      </w:r>
      <w:r>
        <w:rPr>
          <w:iCs/>
          <w:i/>
        </w:rPr>
        <w:t xml:space="preserve">Strategic Management Journal</w:t>
      </w:r>
      <w:r>
        <w:t xml:space="preserve">).</w:t>
      </w:r>
    </w:p>
    <w:p>
      <w:pPr>
        <w:pStyle w:val="BodyText"/>
      </w:pPr>
      <w:r>
        <w:t xml:space="preserve">Second, the study is the first systematic separation of technological capability (TCI: quality certification, foreign-licensed technology) from foundational digital adoption (DAI: website presence, Tier-1 only) as non-overlapping primary constructs in a WBES-based I–P study. Technological capability is robustly positive across all waves (β = 0.123–0.215); the website-based digital indicator undergoes a trajectory consistent with Tier-1 proxy obsolescence (positive in 2009, null in 2015, negatively interactive with export intensity in 2023). Instrumental-variable estimation attributes the pooled DAI association to selection rather than productive capacity.</w:t>
      </w:r>
    </w:p>
    <w:p>
      <w:pPr>
        <w:pStyle w:val="BodyText"/>
      </w:pPr>
      <w:r>
        <w:t xml:space="preserve">Third, Paternoster cross-wave z-tests confirm that the 2009–2015 fall in the digital-adoption productivity association (z = 3.353, p &lt; .001) and its 2015–2023 partial recovery (z = −2.051, p = .040) are statistically distinguishable shifts — an empirical pattern that carries direct policy implications for digital-economy programme design in transitional Vietnamese contexts: Tier-1 digital indicators (website presence) saturate as basic organisational hygiene factors, so the next phase of Vietnam's national digital-transformation agenda must shift policy instruments toward Tier-2 and Tier-3 capabilities (e-commerce platform integration, ERP adoption, AI-augmented operations) if measurable productivity gains are to be realised at the firm level.</w:t>
      </w:r>
    </w:p>
    <w:p>
      <w:pPr>
        <w:pStyle w:val="BodyText"/>
      </w:pPr>
      <w:r>
        <w:rPr>
          <w:bCs/>
          <w:b/>
        </w:rPr>
        <w:t xml:space="preserve">Policy Relevance for Vietnam</w:t>
      </w:r>
    </w:p>
    <w:p>
      <w:pPr>
        <w:pStyle w:val="BodyText"/>
      </w:pPr>
      <w:r>
        <w:t xml:space="preserve">The findings speak directly to two of Vietnam's current economic-policy priorities. (i) Export-promotion design: the 39–46% turning-point band identifies the bounded operating range within which Vietnamese SMEs can sustain export expansion without productivity erosion — a benchmark for current MOIT (Ministry of Industry and Trade) export-support programmes. (ii) Digital-transformation policy: the Tier-1 saturation finding indicates that the current Decision 749/QĐ-TTg (National Digital Transformation Programme to 2030) website-presence indicators have become uninformative as policy targets, and that the National Digital Economy Strategy needs to refocus on higher-tier digital capability metrics to remain diagnostically useful. These implications are developed in §5.3 of the manuscript.</w:t>
      </w:r>
    </w:p>
    <w:p>
      <w:pPr>
        <w:pStyle w:val="BodyText"/>
      </w:pPr>
      <w:r>
        <w:rPr>
          <w:bCs/>
          <w:b/>
        </w:rPr>
        <w:t xml:space="preserve">Originality and Declaration</w:t>
      </w:r>
    </w:p>
    <w:p>
      <w:pPr>
        <w:pStyle w:val="BodyText"/>
      </w:pPr>
      <w:r>
        <w:t xml:space="preserve">This manuscript is original, has not been published previously, and is not under consideration elsewhere. All authors approve the submission. The authors declare no conflict of interest. No specific grant from any funding agency was received. The use of WBES data is subject to the World Bank's standard data agreement; the raw microdata will be made available to the editorial team upon request, consistent with World Bank open-data policy.</w:t>
      </w:r>
    </w:p>
    <w:p>
      <w:pPr>
        <w:pStyle w:val="BodyText"/>
      </w:pPr>
      <w:r>
        <w:rPr>
          <w:bCs/>
          <w:b/>
        </w:rPr>
        <w:t xml:space="preserve">Manuscript Classification</w:t>
      </w:r>
    </w:p>
    <w:p>
      <w:pPr>
        <w:numPr>
          <w:ilvl w:val="0"/>
          <w:numId w:val="1001"/>
        </w:numPr>
        <w:pStyle w:val="Compact"/>
      </w:pPr>
      <w:r>
        <w:t xml:space="preserve">Paper type: Research article</w:t>
      </w:r>
    </w:p>
    <w:p>
      <w:pPr>
        <w:numPr>
          <w:ilvl w:val="0"/>
          <w:numId w:val="1001"/>
        </w:numPr>
        <w:pStyle w:val="Compact"/>
      </w:pPr>
      <w:r>
        <w:t xml:space="preserve">Word count (main text, excluding abstract, references, tables, and figures): approximately 6,800 words</w:t>
      </w:r>
    </w:p>
    <w:p>
      <w:pPr>
        <w:numPr>
          <w:ilvl w:val="0"/>
          <w:numId w:val="1001"/>
        </w:numPr>
        <w:pStyle w:val="Compact"/>
      </w:pPr>
      <w:r>
        <w:t xml:space="preserve">Tables: 5; Figures: 6</w:t>
      </w:r>
    </w:p>
    <w:p>
      <w:pPr>
        <w:numPr>
          <w:ilvl w:val="0"/>
          <w:numId w:val="1001"/>
        </w:numPr>
        <w:pStyle w:val="Compact"/>
      </w:pPr>
      <w:r>
        <w:t xml:space="preserve">Keywords: internationalisation–performance; emerging markets; digital adoption; technological capability; Vietnam; threshold durability</w:t>
      </w:r>
    </w:p>
    <w:p>
      <w:pPr>
        <w:numPr>
          <w:ilvl w:val="0"/>
          <w:numId w:val="1001"/>
        </w:numPr>
        <w:pStyle w:val="Compact"/>
      </w:pPr>
      <w:r>
        <w:t xml:space="preserve">JEL classification: F23, O33, D22, L25, O53</w:t>
      </w:r>
    </w:p>
    <w:p>
      <w:pPr>
        <w:pStyle w:val="FirstParagraph"/>
      </w:pPr>
      <w:r>
        <w:t xml:space="preserve">We hope the manuscript will be of interest to JED's readership. We look forward to the review process.</w:t>
      </w:r>
    </w:p>
    <w:p>
      <w:pPr>
        <w:pStyle w:val="BodyText"/>
      </w:pPr>
      <w:r>
        <w:t xml:space="preserve">Yours sincerely,</w:t>
      </w:r>
    </w:p>
    <w:p>
      <w:pPr>
        <w:pStyle w:val="BodyText"/>
      </w:pPr>
      <w:r>
        <w:rPr>
          <w:bCs/>
          <w:b/>
        </w:rPr>
        <w:t xml:space="preserve">Đỗ Thùy Hương (Do Thuy Huong)</w:t>
      </w:r>
      <w:r>
        <w:t xml:space="preserve"> </w:t>
      </w:r>
      <w:r>
        <w:t xml:space="preserve">PhD Candidate</w:t>
      </w:r>
      <w:r>
        <w:t xml:space="preserve"> </w:t>
      </w:r>
      <w:r>
        <w:t xml:space="preserve">School of Economics, Can Tho University (CTU), Vietnam</w:t>
      </w:r>
      <w:r>
        <w:t xml:space="preserve"> </w:t>
      </w:r>
      <w:r>
        <w:t xml:space="preserve">Email:</w:t>
      </w:r>
      <w:r>
        <w:t xml:space="preserve"> </w:t>
      </w:r>
      <w:hyperlink r:id="rId20">
        <w:r>
          <w:rPr>
            <w:rStyle w:val="Hyperlink"/>
          </w:rPr>
          <w:t xml:space="preserve">thuyhuongctu@gmail.com</w:t>
        </w:r>
      </w:hyperlink>
      <w:r>
        <w:t xml:space="preserve"> </w:t>
      </w:r>
      <w:r>
        <w:t xml:space="preserve">| ORCID: 0000-0002-7711-2487</w:t>
      </w:r>
    </w:p>
    <w:p>
      <w:pPr>
        <w:pStyle w:val="BodyText"/>
      </w:pPr>
      <w:r>
        <w:rPr>
          <w:bCs/>
          <w:b/>
        </w:rPr>
        <w:t xml:space="preserve">PGS.TS. Phan Anh Tú (Phan Anh Tu)</w:t>
      </w:r>
      <w:r>
        <w:t xml:space="preserve"> </w:t>
      </w:r>
      <w:r>
        <w:t xml:space="preserve">Associate Professor, School of Economics</w:t>
      </w:r>
      <w:r>
        <w:t xml:space="preserve"> </w:t>
      </w:r>
      <w:r>
        <w:t xml:space="preserve">Can Tho University (CTU), Vietnam</w:t>
      </w:r>
      <w:r>
        <w:t xml:space="preserve"> </w:t>
      </w:r>
      <w:r>
        <w:rPr>
          <w:iCs/>
          <w:i/>
        </w:rPr>
        <w:t xml:space="preserve">Corresponding author</w:t>
      </w:r>
      <w:r>
        <w:t xml:space="preserve"> </w:t>
      </w:r>
      <w:r>
        <w:t xml:space="preserve">Email:</w:t>
      </w:r>
      <w:r>
        <w:t xml:space="preserve"> </w:t>
      </w:r>
      <w:hyperlink r:id="rId21">
        <w:r>
          <w:rPr>
            <w:rStyle w:val="Hyperlink"/>
          </w:rPr>
          <w:t xml:space="preserve">patu@ctu.edu.vn</w:t>
        </w:r>
      </w:hyperlink>
      <w:r>
        <w:t xml:space="preserve"> </w:t>
      </w:r>
      <w:r>
        <w:t xml:space="preserve">| ORCID: 0000-0003-0667-3137</w:t>
      </w:r>
    </w:p>
    <w:sectPr>
      <w:pgSz w:h="16838" w:w="11906"/>
      <w:pgMar w:bottom="1417"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line="276" w:lineRule="auto"/>
      <w:jc w:val="both"/>
    </w:pPr>
    <w:rPr>
      <w:rFonts w:ascii="Times New Roman" w:eastAsia="Times New Roman" w:hAnsi="Times New Roman"/>
      <w:color w:val="000000"/>
      <w:sz w:val="24"/>
    </w:rPr>
  </w:style>
  <w:style w:styleId="BodyText" w:type="paragraph">
    <w:name w:val="Body Text"/>
    <w:basedOn w:val="Normal"/>
    <w:link w:val="BodyTextChar"/>
    <w:pPr>
      <w:spacing w:after="180" w:before="180" w:line="276" w:lineRule="auto"/>
      <w:jc w:val="both"/>
    </w:pPr>
    <w:qFormat/>
    <w:rPr>
      <w:rFonts w:ascii="Times New Roman" w:eastAsia="Times New Roman" w:hAnsi="Times New Roman"/>
      <w:color w:val="000000"/>
      <w:sz w:val="24"/>
    </w:rPr>
  </w:style>
  <w:style w:customStyle="1" w:styleId="FirstParagraph" w:type="paragraph">
    <w:name w:val="First Paragraph"/>
    <w:basedOn w:val="BodyText"/>
    <w:next w:val="BodyText"/>
    <w:qFormat/>
    <w:pPr>
      <w:spacing w:line="276" w:lineRule="auto"/>
      <w:jc w:val="both"/>
    </w:pPr>
    <w:rPr>
      <w:rFonts w:ascii="Times New Roman" w:eastAsia="Times New Roman" w:hAnsi="Times New Roman"/>
      <w:color w:val="000000"/>
      <w:sz w:val="24"/>
    </w:rPr>
  </w:style>
  <w:style w:customStyle="1" w:styleId="Compact" w:type="paragraph">
    <w:name w:val="Compact"/>
    <w:basedOn w:val="BodyText"/>
    <w:qFormat/>
    <w:pPr>
      <w:spacing w:after="36" w:before="36" w:line="276" w:lineRule="auto"/>
      <w:jc w:val="both"/>
    </w:pPr>
    <w:rPr>
      <w:rFonts w:ascii="Times New Roman" w:eastAsia="Times New Roman" w:hAnsi="Times New Roman"/>
      <w:color w:val="000000"/>
      <w:sz w:val="24"/>
    </w:rPr>
  </w:style>
  <w:style w:styleId="Title" w:type="paragraph">
    <w:name w:val="Title"/>
    <w:basedOn w:val="Normal"/>
    <w:next w:val="BodyText"/>
    <w:qFormat/>
    <w:pPr>
      <w:keepNext/>
      <w:keepLines/>
      <w:spacing w:after="240" w:before="480" w:line="276" w:lineRule="auto"/>
      <w:jc w:val="both"/>
    </w:pPr>
    <w:rPr>
      <w:rFonts w:ascii="Times New Roman" w:asciiTheme="majorHAnsi" w:cstheme="majorBidi" w:eastAsia="Times New Roman" w:eastAsiaTheme="majorEastAsia" w:hAnsi="Times New Roman" w:hAnsiTheme="majorHAnsi"/>
      <w:b/>
      <w:bCs/>
      <w:color w:val="000000"/>
      <w:sz w:val="24"/>
      <w:szCs w:val="36"/>
    </w:rPr>
  </w:style>
  <w:style w:styleId="Subtitle" w:type="paragraph">
    <w:name w:val="Subtitle"/>
    <w:basedOn w:val="Title"/>
    <w:next w:val="BodyText"/>
    <w:qFormat/>
    <w:pPr>
      <w:keepNext/>
      <w:keepLines/>
      <w:spacing w:after="240" w:before="240" w:line="276" w:lineRule="auto"/>
      <w:jc w:val="both"/>
    </w:pPr>
    <w:rPr>
      <w:rFonts w:ascii="Times New Roman" w:eastAsia="Times New Roman" w:hAnsi="Times New Roman"/>
      <w:color w:val="000000"/>
      <w:sz w:val="24"/>
      <w:szCs w:val="30"/>
    </w:rPr>
  </w:style>
  <w:style w:customStyle="1" w:styleId="Author" w:type="paragraph">
    <w:name w:val="Author"/>
    <w:next w:val="BodyText"/>
    <w:qFormat/>
    <w:pPr>
      <w:keepNext/>
      <w:keepLines/>
      <w:spacing w:line="276" w:lineRule="auto"/>
      <w:jc w:val="both"/>
    </w:pPr>
    <w:rPr>
      <w:rFonts w:ascii="Times New Roman" w:eastAsia="Times New Roman" w:hAnsi="Times New Roman"/>
      <w:color w:val="000000"/>
      <w:sz w:val="24"/>
    </w:rPr>
  </w:style>
  <w:style w:styleId="Date" w:type="paragraph">
    <w:name w:val="Date"/>
    <w:next w:val="BodyText"/>
    <w:qFormat/>
    <w:pPr>
      <w:keepNext/>
      <w:keepLines/>
      <w:spacing w:line="276" w:lineRule="auto"/>
      <w:jc w:val="both"/>
    </w:pPr>
    <w:rPr>
      <w:rFonts w:ascii="Times New Roman" w:eastAsia="Times New Roman" w:hAnsi="Times New Roman"/>
      <w:color w:val="000000"/>
      <w:sz w:val="24"/>
    </w:rPr>
  </w:style>
  <w:style w:customStyle="1" w:styleId="AbstractTitle" w:type="paragraph">
    <w:name w:val="Abstract Title"/>
    <w:basedOn w:val="Normal"/>
    <w:next w:val="Abstract"/>
    <w:qFormat/>
    <w:pPr>
      <w:keepNext/>
      <w:keepLines/>
      <w:jc w:val="both"/>
      <w:spacing w:after="0" w:before="300" w:line="276" w:lineRule="auto"/>
    </w:pPr>
    <w:rPr>
      <w:color w:val="000000"/>
      <w:sz w:val="24"/>
      <w:szCs w:val="20"/>
      <w:rFonts w:ascii="Times New Roman" w:eastAsia="Times New Roman" w:hAnsi="Times New Roman"/>
      <w:b/>
    </w:rPr>
  </w:style>
  <w:style w:customStyle="1" w:styleId="Abstract" w:type="paragraph">
    <w:name w:val="Abstract"/>
    <w:basedOn w:val="Normal"/>
    <w:next w:val="BodyText"/>
    <w:qFormat/>
    <w:pPr>
      <w:keepNext/>
      <w:keepLines/>
      <w:spacing w:after="300" w:before="100" w:line="276" w:lineRule="auto"/>
      <w:jc w:val="both"/>
    </w:pPr>
    <w:rPr>
      <w:rFonts w:ascii="Times New Roman" w:eastAsia="Times New Roman" w:hAnsi="Times New Roman"/>
      <w:color w:val="000000"/>
      <w:sz w:val="24"/>
      <w:szCs w:val="20"/>
    </w:rPr>
  </w:style>
  <w:style w:styleId="Bibliography" w:type="paragraph">
    <w:name w:val="Bibliography"/>
    <w:basedOn w:val="Normal"/>
    <w:next w:val="Bibliography"/>
    <w:qFormat/>
    <w:pPr>
      <w:spacing w:line="276" w:lineRule="auto"/>
      <w:jc w:val="both"/>
    </w:pPr>
    <w:rPr>
      <w:rFonts w:ascii="Times New Roman" w:eastAsia="Times New Roman" w:hAnsi="Times New Roman"/>
      <w:color w:val="000000"/>
      <w:sz w:val="24"/>
    </w:rPr>
  </w:style>
  <w:style w:styleId="Heading1" w:type="paragraph">
    <w:name w:val="Heading 1"/>
    <w:basedOn w:val="Normal"/>
    <w:next w:val="BodyText"/>
    <w:uiPriority w:val="9"/>
    <w:qFormat/>
    <w:pPr>
      <w:keepNext/>
      <w:keepLines/>
      <w:spacing w:after="0" w:before="480" w:line="276" w:lineRule="auto"/>
      <w:jc w:val="both"/>
      <w:outlineLvl w:val="0"/>
    </w:pPr>
    <w:rPr>
      <w:rFonts w:ascii="Times New Roman" w:asciiTheme="majorHAnsi" w:cstheme="majorBidi" w:eastAsia="Times New Roman" w:eastAsiaTheme="majorEastAsia" w:hAnsi="Times New Roman" w:hAnsiTheme="majorHAnsi"/>
      <w:b/>
      <w:bCs/>
      <w:color w:val="000000"/>
      <w:sz w:val="24"/>
      <w:szCs w:val="32"/>
    </w:rPr>
  </w:style>
  <w:style w:styleId="Heading2" w:type="paragraph">
    <w:name w:val="Heading 2"/>
    <w:basedOn w:val="Normal"/>
    <w:next w:val="BodyText"/>
    <w:uiPriority w:val="9"/>
    <w:unhideWhenUsed/>
    <w:qFormat/>
    <w:pPr>
      <w:keepNext/>
      <w:keepLines/>
      <w:spacing w:after="0" w:before="200" w:line="276" w:lineRule="auto"/>
      <w:jc w:val="both"/>
      <w:outlineLvl w:val="1"/>
    </w:pPr>
    <w:rPr>
      <w:rFonts w:ascii="Times New Roman" w:asciiTheme="majorHAnsi" w:cstheme="majorBidi" w:eastAsia="Times New Roman" w:eastAsiaTheme="majorEastAsia" w:hAnsi="Times New Roman" w:hAnsiTheme="majorHAnsi"/>
      <w:b/>
      <w:bCs/>
      <w:color w:val="000000"/>
      <w:sz w:val="24"/>
      <w:szCs w:val="28"/>
    </w:rPr>
  </w:style>
  <w:style w:styleId="Heading3" w:type="paragraph">
    <w:name w:val="Heading 3"/>
    <w:basedOn w:val="Normal"/>
    <w:next w:val="BodyText"/>
    <w:uiPriority w:val="9"/>
    <w:unhideWhenUsed/>
    <w:qFormat/>
    <w:pPr>
      <w:keepNext/>
      <w:keepLines/>
      <w:spacing w:after="0" w:before="200" w:line="276" w:lineRule="auto"/>
      <w:jc w:val="both"/>
      <w:outlineLvl w:val="2"/>
    </w:pPr>
    <w:rPr>
      <w:rFonts w:ascii="Times New Roman" w:asciiTheme="majorHAnsi" w:cstheme="majorBidi" w:eastAsia="Times New Roman" w:eastAsiaTheme="majorEastAsia" w:hAnsi="Times New Roman" w:hAnsiTheme="majorHAnsi"/>
      <w:b/>
      <w:bCs/>
      <w:color w:val="000000"/>
      <w:sz w:val="24"/>
      <w:szCs w:val="24"/>
    </w:rPr>
  </w:style>
  <w:style w:styleId="Heading4" w:type="paragraph">
    <w:name w:val="Heading 4"/>
    <w:basedOn w:val="Normal"/>
    <w:next w:val="BodyText"/>
    <w:uiPriority w:val="9"/>
    <w:unhideWhenUsed/>
    <w:qFormat/>
    <w:pPr>
      <w:keepNext/>
      <w:keepLines/>
      <w:spacing w:after="0" w:before="200" w:line="276" w:lineRule="auto"/>
      <w:jc w:val="both"/>
      <w:outlineLvl w:val="3"/>
    </w:pPr>
    <w:rPr>
      <w:rFonts w:ascii="Times New Roman" w:asciiTheme="majorHAnsi" w:cstheme="majorBidi" w:eastAsia="Times New Roman" w:eastAsiaTheme="majorEastAsia" w:hAnsi="Times New Roman" w:hAnsiTheme="majorHAnsi"/>
      <w:i/>
      <w:bCs/>
      <w:color w:val="000000"/>
      <w:sz w:val="24"/>
      <w:szCs w:val="24"/>
    </w:rPr>
  </w:style>
  <w:style w:styleId="Heading5" w:type="paragraph">
    <w:name w:val="Heading 5"/>
    <w:basedOn w:val="Normal"/>
    <w:next w:val="BodyText"/>
    <w:uiPriority w:val="9"/>
    <w:unhideWhenUsed/>
    <w:qFormat/>
    <w:pPr>
      <w:keepNext/>
      <w:keepLines/>
      <w:spacing w:after="0" w:before="200" w:line="276" w:lineRule="auto"/>
      <w:jc w:val="both"/>
      <w:outlineLvl w:val="4"/>
    </w:pPr>
    <w:rPr>
      <w:rFonts w:ascii="Times New Roman" w:asciiTheme="majorHAnsi" w:cstheme="majorBidi" w:eastAsia="Times New Roman" w:eastAsiaTheme="majorEastAsia" w:hAnsi="Times New Roman" w:hAnsiTheme="majorHAnsi"/>
      <w:iCs/>
      <w:color w:val="000000"/>
      <w:sz w:val="24"/>
      <w:szCs w:val="24"/>
    </w:rPr>
  </w:style>
  <w:style w:styleId="Heading6" w:type="paragraph">
    <w:name w:val="Heading 6"/>
    <w:basedOn w:val="Normal"/>
    <w:next w:val="BodyText"/>
    <w:uiPriority w:val="9"/>
    <w:unhideWhenUsed/>
    <w:qFormat/>
    <w:pPr>
      <w:keepNext/>
      <w:keepLines/>
      <w:spacing w:after="0" w:before="200" w:line="276" w:lineRule="auto"/>
      <w:jc w:val="both"/>
      <w:outlineLvl w:val="5"/>
    </w:pPr>
    <w:rPr>
      <w:rFonts w:ascii="Times New Roman" w:asciiTheme="majorHAnsi" w:cstheme="majorBidi" w:eastAsia="Times New Roman" w:eastAsiaTheme="majorEastAsia" w:hAnsi="Times New Roman" w:hAnsiTheme="majorHAnsi"/>
      <w:color w:val="000000"/>
      <w:sz w:val="24"/>
      <w:szCs w:val="24"/>
    </w:rPr>
  </w:style>
  <w:style w:styleId="Heading7" w:type="paragraph">
    <w:name w:val="Heading 7"/>
    <w:basedOn w:val="Normal"/>
    <w:next w:val="BodyText"/>
    <w:uiPriority w:val="9"/>
    <w:unhideWhenUsed/>
    <w:qFormat/>
    <w:pPr>
      <w:keepNext/>
      <w:keepLines/>
      <w:spacing w:after="0" w:before="200" w:line="276" w:lineRule="auto"/>
      <w:jc w:val="both"/>
      <w:outlineLvl w:val="6"/>
    </w:pPr>
    <w:rPr>
      <w:rFonts w:ascii="Times New Roman" w:asciiTheme="majorHAnsi" w:cstheme="majorBidi" w:eastAsia="Times New Roman" w:eastAsiaTheme="majorEastAsia" w:hAnsi="Times New Roman" w:hAnsiTheme="majorHAnsi"/>
      <w:color w:val="000000"/>
      <w:sz w:val="24"/>
      <w:szCs w:val="24"/>
    </w:rPr>
  </w:style>
  <w:style w:styleId="Heading8" w:type="paragraph">
    <w:name w:val="Heading 8"/>
    <w:basedOn w:val="Normal"/>
    <w:next w:val="BodyText"/>
    <w:uiPriority w:val="9"/>
    <w:unhideWhenUsed/>
    <w:qFormat/>
    <w:pPr>
      <w:keepNext/>
      <w:keepLines/>
      <w:spacing w:after="0" w:before="200" w:line="276" w:lineRule="auto"/>
      <w:jc w:val="both"/>
      <w:outlineLvl w:val="7"/>
    </w:pPr>
    <w:rPr>
      <w:rFonts w:ascii="Times New Roman" w:asciiTheme="majorHAnsi" w:cstheme="majorBidi" w:eastAsia="Times New Roman" w:eastAsiaTheme="majorEastAsia" w:hAnsi="Times New Roman" w:hAnsiTheme="majorHAnsi"/>
      <w:color w:val="000000"/>
      <w:sz w:val="24"/>
      <w:szCs w:val="24"/>
    </w:rPr>
  </w:style>
  <w:style w:styleId="Heading9" w:type="paragraph">
    <w:name w:val="Heading 9"/>
    <w:basedOn w:val="Normal"/>
    <w:next w:val="BodyText"/>
    <w:uiPriority w:val="9"/>
    <w:unhideWhenUsed/>
    <w:qFormat/>
    <w:pPr>
      <w:keepNext/>
      <w:keepLines/>
      <w:spacing w:after="0" w:before="200" w:line="276" w:lineRule="auto"/>
      <w:jc w:val="both"/>
      <w:outlineLvl w:val="8"/>
    </w:pPr>
    <w:rPr>
      <w:rFonts w:ascii="Times New Roman" w:asciiTheme="majorHAnsi" w:cstheme="majorBidi" w:eastAsia="Times New Roman" w:eastAsiaTheme="majorEastAsia" w:hAnsi="Times New Roman" w:hAnsiTheme="majorHAnsi"/>
      <w:color w:val="000000"/>
      <w:sz w:val="24"/>
      <w:szCs w:val="24"/>
    </w:rPr>
  </w:style>
  <w:style w:styleId="BlockText" w:type="paragraph">
    <w:name w:val="Block Text"/>
    <w:basedOn w:val="BodyText"/>
    <w:next w:val="BodyText"/>
    <w:uiPriority w:val="9"/>
    <w:unhideWhenUsed/>
    <w:qFormat/>
    <w:pPr>
      <w:spacing w:after="100" w:before="100" w:line="276" w:lineRule="auto"/>
      <w:ind w:firstLine="0" w:left="480" w:right="480"/>
      <w:jc w:val="both"/>
    </w:pPr>
    <w:rPr>
      <w:rFonts w:ascii="Times New Roman" w:eastAsia="Times New Roman" w:hAnsi="Times New Roman"/>
      <w:color w:val="000000"/>
      <w:sz w:val="24"/>
    </w:rPr>
  </w:style>
  <w:style w:styleId="FootnoteText" w:type="paragraph">
    <w:name w:val="Footnote Text"/>
    <w:basedOn w:val="Normal"/>
    <w:next w:val="FootnoteText"/>
    <w:uiPriority w:val="9"/>
    <w:unhideWhenUsed/>
    <w:qFormat/>
    <w:pPr>
      <w:spacing w:line="276" w:lineRule="auto"/>
      <w:jc w:val="both"/>
    </w:pPr>
    <w:rPr>
      <w:rFonts w:ascii="Times New Roman" w:eastAsia="Times New Roman" w:hAnsi="Times New Roman"/>
      <w:color w:val="000000"/>
      <w:sz w:val="24"/>
    </w:rPr>
  </w:style>
  <w:style w:default="1" w:styleId="DefaultParagraphFont" w:type="character">
    <w:name w:val="Default Paragraph Font"/>
    <w:semiHidden/>
    <w:unhideWhenUsed/>
    <w:rPr>
      <w:rFonts w:ascii="Times New Roman" w:eastAsia="Times New Roman" w:hAnsi="Times New Roman"/>
      <w:color w:val="000000"/>
      <w:sz w:val="24"/>
    </w:rPr>
  </w:style>
  <w:style w:default="1" w:styleId="Table" w:type="table">
    <w:name w:val="Table"/>
    <w:basedOn w:val="TableNormal"/>
    <w:semiHidden/>
    <w:unhideWhenUsed/>
    <w:qFormat/>
    <w:pPr>
      <w:spacing w:line="276" w:lineRule="auto"/>
      <w:jc w:val="both"/>
    </w:pPr>
    <w:rPr>
      <w:rFonts w:ascii="Times New Roman" w:eastAsia="Times New Roman" w:hAnsi="Times New Roman"/>
      <w:color w:val="000000"/>
      <w:sz w:val="24"/>
    </w:rPr>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line="276" w:lineRule="auto"/>
      <w:jc w:val="both"/>
    </w:pPr>
    <w:rPr>
      <w:rFonts w:ascii="Times New Roman" w:eastAsia="Times New Roman" w:hAnsi="Times New Roman"/>
      <w:b/>
      <w:color w:val="000000"/>
      <w:sz w:val="24"/>
    </w:rPr>
  </w:style>
  <w:style w:customStyle="1" w:styleId="Definition" w:type="paragraph">
    <w:name w:val="Definition"/>
    <w:basedOn w:val="Normal"/>
    <w:pPr>
      <w:spacing w:line="276" w:lineRule="auto"/>
      <w:jc w:val="both"/>
    </w:pPr>
    <w:rPr>
      <w:rFonts w:ascii="Times New Roman" w:eastAsia="Times New Roman" w:hAnsi="Times New Roman"/>
      <w:color w:val="000000"/>
      <w:sz w:val="24"/>
    </w:rPr>
  </w:style>
  <w:style w:styleId="Caption" w:type="paragraph">
    <w:name w:val="Caption"/>
    <w:basedOn w:val="Normal"/>
    <w:link w:val="BodyTextChar"/>
    <w:pPr>
      <w:spacing w:after="120" w:before="0" w:line="276" w:lineRule="auto"/>
      <w:jc w:val="both"/>
    </w:pPr>
    <w:rPr>
      <w:rFonts w:ascii="Times New Roman" w:eastAsia="Times New Roman" w:hAnsi="Times New Roman"/>
      <w:i/>
      <w:color w:val="000000"/>
      <w:sz w:val="24"/>
    </w:rPr>
  </w:style>
  <w:style w:customStyle="1" w:styleId="TableCaption" w:type="paragraph">
    <w:name w:val="Table Caption"/>
    <w:basedOn w:val="Caption"/>
    <w:pPr>
      <w:keepNext/>
      <w:spacing w:line="276" w:lineRule="auto"/>
      <w:jc w:val="both"/>
    </w:pPr>
    <w:rPr>
      <w:rFonts w:ascii="Times New Roman" w:eastAsia="Times New Roman" w:hAnsi="Times New Roman"/>
      <w:color w:val="000000"/>
      <w:sz w:val="24"/>
    </w:rPr>
  </w:style>
  <w:style w:customStyle="1" w:styleId="ImageCaption" w:type="paragraph">
    <w:name w:val="Image Caption"/>
    <w:basedOn w:val="Caption"/>
    <w:pPr>
      <w:spacing w:line="276" w:lineRule="auto"/>
      <w:jc w:val="both"/>
    </w:pPr>
    <w:rPr>
      <w:rFonts w:ascii="Times New Roman" w:eastAsia="Times New Roman" w:hAnsi="Times New Roman"/>
      <w:color w:val="000000"/>
      <w:sz w:val="24"/>
    </w:rPr>
  </w:style>
  <w:style w:customStyle="1" w:styleId="Figure" w:type="paragraph">
    <w:name w:val="Figure"/>
    <w:basedOn w:val="Normal"/>
    <w:pPr>
      <w:spacing w:line="276" w:lineRule="auto"/>
      <w:jc w:val="both"/>
    </w:pPr>
    <w:rPr>
      <w:rFonts w:ascii="Times New Roman" w:eastAsia="Times New Roman" w:hAnsi="Times New Roman"/>
      <w:color w:val="000000"/>
      <w:sz w:val="24"/>
    </w:rPr>
  </w:style>
  <w:style w:customStyle="1" w:styleId="CaptionedFigure" w:type="paragraph">
    <w:name w:val="Captioned Figure"/>
    <w:basedOn w:val="Figure"/>
    <w:pPr>
      <w:keepNext/>
      <w:spacing w:line="276" w:lineRule="auto"/>
      <w:jc w:val="both"/>
    </w:pPr>
    <w:rPr>
      <w:rFonts w:ascii="Times New Roman" w:eastAsia="Times New Roman" w:hAnsi="Times New Roman"/>
      <w:color w:val="000000"/>
      <w:sz w:val="24"/>
    </w:rPr>
  </w:style>
  <w:style w:customStyle="1" w:styleId="BodyTextChar" w:type="character">
    <w:name w:val="Body Text Char"/>
    <w:basedOn w:val="DefaultParagraphFont"/>
    <w:link w:val="BodyText"/>
    <w:rPr>
      <w:rFonts w:ascii="Times New Roman" w:eastAsia="Times New Roman" w:hAnsi="Times New Roman"/>
      <w:color w:val="000000"/>
      <w:sz w:val="24"/>
    </w:rPr>
  </w:style>
  <w:style w:customStyle="1" w:styleId="VerbatimChar" w:type="character">
    <w:name w:val="Verbatim Char"/>
    <w:basedOn w:val="BodyTextChar"/>
    <w:rPr>
      <w:rFonts w:ascii="Times New Roman" w:eastAsia="Times New Roman" w:hAnsi="Times New Roman"/>
      <w:color w:val="000000"/>
      <w:sz w:val="24"/>
    </w:rPr>
  </w:style>
  <w:style w:customStyle="1" w:styleId="SectionNumber" w:type="character">
    <w:name w:val="Section Number"/>
    <w:basedOn w:val="BodyTextChar"/>
    <w:rPr>
      <w:rFonts w:ascii="Times New Roman" w:eastAsia="Times New Roman" w:hAnsi="Times New Roman"/>
      <w:color w:val="000000"/>
      <w:sz w:val="24"/>
    </w:rPr>
  </w:style>
  <w:style w:styleId="FootnoteReference" w:type="character">
    <w:name w:val="Footnote Reference"/>
    <w:basedOn w:val="BodyTextChar"/>
    <w:rPr>
      <w:rFonts w:ascii="Times New Roman" w:eastAsia="Times New Roman" w:hAnsi="Times New Roman"/>
      <w:color w:val="000000"/>
      <w:sz w:val="24"/>
      <w:vertAlign w:val="superscript"/>
    </w:rPr>
  </w:style>
  <w:style w:styleId="Hyperlink" w:type="character">
    <w:name w:val="Hyperlink"/>
    <w:basedOn w:val="BodyTextChar"/>
    <w:rPr>
      <w:rFonts w:ascii="Times New Roman" w:eastAsia="Times New Roman" w:hAnsi="Times New Roman"/>
      <w:color w:val="000000"/>
      <w:sz w:val="24"/>
    </w:rPr>
  </w:style>
  <w:style w:styleId="TOCHeading" w:type="paragraph">
    <w:name w:val="TOC Heading"/>
    <w:basedOn w:val="Heading1"/>
    <w:next w:val="BodyText"/>
    <w:uiPriority w:val="39"/>
    <w:unhideWhenUsed/>
    <w:qFormat/>
    <w:pPr>
      <w:spacing w:before="240" w:line="276" w:lineRule="auto"/>
      <w:jc w:val="both"/>
      <w:outlineLvl w:val="9"/>
    </w:pPr>
    <w:rPr>
      <w:rFonts w:ascii="Times New Roman" w:asciiTheme="majorHAnsi" w:cstheme="majorBidi" w:eastAsia="Times New Roman" w:eastAsiaTheme="majorEastAsia" w:hAnsi="Times New Roman" w:hAnsiTheme="majorHAnsi"/>
      <w:b w:val="0"/>
      <w:bCs w:val="0"/>
      <w:color w:val="000000"/>
      <w:sz w:val="24"/>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hyperlink" Id="rId21" Target="mailto:patu@ctu.edu.vn" TargetMode="External" /><Relationship Type="http://schemas.openxmlformats.org/officeDocument/2006/relationships/hyperlink" Id="rId20" Target="mailto:thuyhuongctu@gmail.com" TargetMode="External" /></Relationships>
</file>

<file path=word/_rels/footnotes.xml.rels><?xml version="1.0" encoding="UTF-8"?><Relationships xmlns="http://schemas.openxmlformats.org/package/2006/relationships"><Relationship Type="http://schemas.openxmlformats.org/officeDocument/2006/relationships/hyperlink" Id="rId21" Target="mailto:patu@ctu.edu.vn" TargetMode="External" /><Relationship Type="http://schemas.openxmlformats.org/officeDocument/2006/relationships/hyperlink" Id="rId20" Target="mailto:thuyhuongctu@gmail.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2026-06-01T19:03:44Z</dcterms:created>
  <dcterms:modified xsi:type="dcterms:W3CDTF">2026-06-01T19:03:44Z</dcterms:modified>
</cp:coreProperties>
</file>

<file path=docProps/custom.xml><?xml version="1.0" encoding="utf-8"?>
<Properties xmlns="http://schemas.openxmlformats.org/officeDocument/2006/custom-properties" xmlns:vt="http://schemas.openxmlformats.org/officeDocument/2006/docPropsVTypes"/>
</file>