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2 June 2026</w:t>
      </w:r>
    </w:p>
    <w:p>
      <w:pPr>
        <w:pStyle w:val="BodyText"/>
      </w:pPr>
      <w:r>
        <w:t xml:space="preserve">The Editor-in-Chief</w:t>
      </w:r>
      <w:r>
        <w:t xml:space="preserve"> </w:t>
      </w:r>
      <w:r>
        <w:rPr>
          <w:iCs/>
          <w:i/>
        </w:rPr>
        <w:t xml:space="preserve">Journal of Asian Business and Economic Studies</w:t>
      </w:r>
      <w:r>
        <w:t xml:space="preserve"> </w:t>
      </w:r>
      <w:r>
        <w:t xml:space="preserve">Emerald Publishing on behalf of University of Economics Ho Chi Minh City (UEH)</w:t>
      </w:r>
    </w:p>
    <w:p>
      <w:r>
        <w:pict>
          <v:rect style="width:0;height:1.5pt" o:hralign="center" o:hrstd="t" o:hr="t"/>
        </w:pict>
      </w:r>
    </w:p>
    <w:p>
      <w:pPr>
        <w:pStyle w:val="FirstParagraph"/>
      </w:pPr>
      <w:r>
        <w:rPr>
          <w:bCs/>
          <w:b/>
        </w:rPr>
        <w:t xml:space="preserve">Submission of Manuscript: "Technological Capability, Digital Adoption, and the Internationalisation–Performance Relationship: A Firm-Level Study of Singapore"</w:t>
      </w:r>
    </w:p>
    <w:p>
      <w:pPr>
        <w:pStyle w:val="BodyText"/>
      </w:pPr>
      <w:r>
        <w:t xml:space="preserve">Dear Editor-in-Chief,</w:t>
      </w:r>
    </w:p>
    <w:p>
      <w:pPr>
        <w:pStyle w:val="BodyText"/>
      </w:pPr>
      <w:r>
        <w:t xml:space="preserve">We are pleased to submit the above manuscript for consideration for publication in the</w:t>
      </w:r>
      <w:r>
        <w:t xml:space="preserve"> </w:t>
      </w:r>
      <w:r>
        <w:rPr>
          <w:iCs/>
          <w:i/>
        </w:rPr>
        <w:t xml:space="preserve">Journal of Asian Business and Economic Studies</w:t>
      </w:r>
      <w:r>
        <w:t xml:space="preserve"> </w:t>
      </w:r>
      <w:r>
        <w:t xml:space="preserve">(JABES). The paper presents an empirical study of the internationalisation–performance (I-P) relationship using World Bank Enterprise Survey microdata for Singapore (2023; N = 623; N = 617 for specifications including DAI), positioned as a boundary-case test at the advanced-economy ceiling of the Asian institutional spectrum.</w:t>
      </w:r>
    </w:p>
    <w:p>
      <w:pPr>
        <w:pStyle w:val="BodyText"/>
      </w:pPr>
      <w:r>
        <w:rPr>
          <w:bCs/>
          <w:b/>
        </w:rPr>
        <w:t xml:space="preserve">Fit with JABES</w:t>
      </w:r>
    </w:p>
    <w:p>
      <w:pPr>
        <w:pStyle w:val="BodyText"/>
      </w:pPr>
      <w:r>
        <w:t xml:space="preserve">JABES is a natural venue for this work for three reasons aligned with the journal's editorial scope. First, JABES's mandate to publish scholarly research on</w:t>
      </w:r>
      <w:r>
        <w:t xml:space="preserve"> </w:t>
      </w:r>
      <w:r>
        <w:rPr>
          <w:bCs/>
          <w:b/>
        </w:rPr>
        <w:t xml:space="preserve">Asian business, management, and economic studies</w:t>
      </w:r>
      <w:r>
        <w:t xml:space="preserve"> </w:t>
      </w:r>
      <w:r>
        <w:t xml:space="preserve">matches the paper's analytical focus: Singapore — Asia's most digitally mature economy — provides a within-Asia boundary-case complement to the cross-Asian I-P evidence portfolio (companion studies on Vietnam, China, and Pacific SIDS firm-level data, all anchored in WBES microdata across the Asian institutional spectrum). Second, JABES's Q1 Scopus positioning and EconLit / ERIM / ASEAN Citation Index multi-indexing reach an audience of Asian business economists and IB scholars for whom the digital-saturation paradox documented here is a directly actionable theoretical refinement. Third, JABES's editorial preference for rigorous theoretical and empirical contributions aligned with the Asian institutional context fits the paper's primary positioning: rather than a parochial single-country report, Singapore is treated as the analytically informative high-institution case study of</w:t>
      </w:r>
      <w:r>
        <w:t xml:space="preserve"> </w:t>
      </w:r>
      <w:r>
        <w:rPr>
          <w:iCs/>
          <w:i/>
        </w:rPr>
        <w:t xml:space="preserve">internationalisation-to-scale</w:t>
      </w:r>
      <w:r>
        <w:t xml:space="preserve">, which complements the</w:t>
      </w:r>
      <w:r>
        <w:t xml:space="preserve"> </w:t>
      </w:r>
      <w:r>
        <w:rPr>
          <w:iCs/>
          <w:i/>
        </w:rPr>
        <w:t xml:space="preserve">internationalisation-to-survive</w:t>
      </w:r>
      <w:r>
        <w:t xml:space="preserve"> </w:t>
      </w:r>
      <w:r>
        <w:t xml:space="preserve">regime documented in companion work on emerging Asia.</w:t>
      </w:r>
    </w:p>
    <w:p>
      <w:pPr>
        <w:pStyle w:val="BodyText"/>
      </w:pPr>
      <w:r>
        <w:rPr>
          <w:bCs/>
          <w:b/>
        </w:rPr>
        <w:t xml:space="preserve">Key Contributions</w:t>
      </w:r>
    </w:p>
    <w:p>
      <w:pPr>
        <w:pStyle w:val="BodyText"/>
      </w:pPr>
      <w:r>
        <w:t xml:space="preserve">First, within the observed export-intensity range, the I-P relationship in Singapore is better characterised as predominantly positive with mild quadratic curvature than as a formally identified inverted-U. The fitted quadratic implies a turning point near</w:t>
      </w:r>
      <w:r>
        <w:t xml:space="preserve"> </w:t>
      </w:r>
      <m:oMath>
        <m:r>
          <m:rPr>
            <m:sty m:val="p"/>
          </m:rPr>
          <m:t>F</m:t>
        </m:r>
        <m:r>
          <m:rPr>
            <m:sty m:val="p"/>
          </m:rPr>
          <m:t>S</m:t>
        </m:r>
        <m:r>
          <m:rPr>
            <m:sty m:val="p"/>
          </m:rPr>
          <m:t>T</m:t>
        </m:r>
        <m:r>
          <m:rPr>
            <m:sty m:val="p"/>
          </m:rPr>
          <m:t>S</m:t>
        </m:r>
        <m:r>
          <m:rPr>
            <m:sty m:val="p"/>
          </m:rPr>
          <m:t>≈</m:t>
        </m:r>
        <m:r>
          <m:t>82</m:t>
        </m:r>
        <m:r>
          <m:rPr>
            <m:sty m:val="p"/>
          </m:rPr>
          <m:t>%</m:t>
        </m:r>
      </m:oMath>
      <w:r>
        <w:t xml:space="preserve">, but that point falls in a sparsely populated region of the data (only</w:t>
      </w:r>
      <w:r>
        <w:t xml:space="preserve"> </w:t>
      </w:r>
      <m:oMath>
        <m:r>
          <m:rPr>
            <m:sty m:val="p"/>
          </m:rPr>
          <m:t>≈</m:t>
        </m:r>
      </m:oMath>
      <w:r>
        <w:t xml:space="preserve">3% of firms exceed 50% FSTS) — consistent with theoretical expectations that advanced-economy digital infrastructure attenuates the coordination-cost mechanism underlying the classic inverted-U until very high levels of export intensity. This qualifies rather than overturns the conventional nonlinear I-P literature for digitally mature Asian economies.</w:t>
      </w:r>
    </w:p>
    <w:p>
      <w:pPr>
        <w:pStyle w:val="BodyText"/>
      </w:pPr>
      <w:r>
        <w:t xml:space="preserve">Second, the study documents the empirical signature of the</w:t>
      </w:r>
      <w:r>
        <w:t xml:space="preserve"> </w:t>
      </w:r>
      <w:r>
        <w:rPr>
          <w:bCs/>
          <w:b/>
        </w:rPr>
        <w:t xml:space="preserve">digital saturation paradox</w:t>
      </w:r>
      <w:r>
        <w:t xml:space="preserve"> </w:t>
      </w:r>
      <w:r>
        <w:t xml:space="preserve">at the advanced-economy ceiling: in an environment where Tier 1–2 digital interfaces (websites, electronic payment systems) are already widely diffused, foundational digital adoption functions as a hygiene factor for domestic operations rather than a differentiating asset. The diffusion-driven saturation mechanism is well established (Rogers, 1962; Bharadwaj et al., 2013); our contribution is to document its specific empirical signature in WBES Singapore 2023, where DAI's productivity association becomes measurable primarily in the high-export tail (</w:t>
      </w:r>
      <m:oMath>
        <m:sSub>
          <m:e>
            <m:r>
              <m:t>β</m:t>
            </m:r>
          </m:e>
          <m:sub>
            <m:r>
              <m:t>5</m:t>
            </m:r>
          </m:sub>
        </m:sSub>
      </m:oMath>
      <w:r>
        <w:t xml:space="preserve"> </w:t>
      </w:r>
      <w:r>
        <w:t xml:space="preserve">for</w:t>
      </w:r>
      <w:r>
        <w:t xml:space="preserve"> </w:t>
      </w:r>
      <m:oMath>
        <m:sSup>
          <m:e>
            <m:r>
              <m:rPr>
                <m:sty m:val="p"/>
              </m:rPr>
              <m:t>F</m:t>
            </m:r>
            <m:r>
              <m:rPr>
                <m:sty m:val="p"/>
              </m:rPr>
              <m:t>S</m:t>
            </m:r>
            <m:r>
              <m:rPr>
                <m:sty m:val="p"/>
              </m:rPr>
              <m:t>T</m:t>
            </m:r>
            <m:r>
              <m:rPr>
                <m:sty m:val="p"/>
              </m:rPr>
              <m:t>S</m:t>
            </m:r>
          </m:e>
          <m:sup>
            <m:r>
              <m:t>2</m:t>
            </m:r>
          </m:sup>
        </m:sSup>
        <m:r>
          <m:rPr>
            <m:sty m:val="p"/>
          </m:rPr>
          <m:t>×</m:t>
        </m:r>
        <m:r>
          <m:rPr>
            <m:sty m:val="p"/>
          </m:rPr>
          <m:t>D</m:t>
        </m:r>
        <m:r>
          <m:rPr>
            <m:sty m:val="p"/>
          </m:rPr>
          <m:t>A</m:t>
        </m:r>
        <m:r>
          <m:rPr>
            <m:sty m:val="p"/>
          </m:rPr>
          <m:t>I</m:t>
        </m:r>
      </m:oMath>
      <w:r>
        <w:t xml:space="preserve"> </w:t>
      </w:r>
      <w:r>
        <w:t xml:space="preserve">= +3.119, p = .005), consistent with digital adoption operating as a contingent scaling resource rather than a uniform productivity premium.</w:t>
      </w:r>
    </w:p>
    <w:p>
      <w:pPr>
        <w:pStyle w:val="BodyText"/>
      </w:pPr>
      <w:r>
        <w:t xml:space="preserve">Third, the study provides the clearest empirical separation to date between the Technological Capability Index (TCI: quality certification, R&amp;D, product innovation, foreign-licensed technology) and the Digital Adoption Index (DAI: website presence, electronic payment) as non-overlapping constructs in a WBES-based I-P study — a design feature that directly operationalises the Conditional Digital Capability Moderation (CDCM) framework and resolves construct-bundling ambiguities common in the digital-IB literature.</w:t>
      </w:r>
    </w:p>
    <w:p>
      <w:pPr>
        <w:pStyle w:val="BodyText"/>
      </w:pPr>
      <w:r>
        <w:rPr>
          <w:bCs/>
          <w:b/>
        </w:rPr>
        <w:t xml:space="preserve">Policy Relevance for Asian Advanced Economies</w:t>
      </w:r>
    </w:p>
    <w:p>
      <w:pPr>
        <w:pStyle w:val="BodyText"/>
      </w:pPr>
      <w:r>
        <w:t xml:space="preserve">The findings speak directly to Singapore's Smart Nation 2.0 (2024) and Enterprise Singapore export-promotion programmes, and have natural extensions for other digitally mature Asian economies (Hong Kong, Taiwan, Korea, Japan): foundational digital adoption alone is insufficient to generate broad-based productivity gains in digitally saturated economies; export-intensity orientation is the channel through which Tier 1–2 digital investments translate into measurable productivity uplift. The implication for Asian export-promotion policy is to treat foundational digital adoption as an export-readiness condition rather than a productivity-premium asset, and to prioritise Tier 3–4 capabilities (ERP integration, AI-enabled operations) for productivity uplift across the firm population.</w:t>
      </w:r>
    </w:p>
    <w:p>
      <w:pPr>
        <w:pStyle w:val="BodyText"/>
      </w:pPr>
      <w:r>
        <w:rPr>
          <w:bCs/>
          <w:b/>
        </w:rPr>
        <w:t xml:space="preserve">Originality and Declarations</w:t>
      </w:r>
    </w:p>
    <w:p>
      <w:pPr>
        <w:pStyle w:val="BodyText"/>
      </w:pPr>
      <w:r>
        <w:t xml:space="preserve">This manuscript is original, has not been published previously, and is not under consideration for publication elsewhere. All authors have approved the manuscript and agree to its submission. The authors declare no conflict of interest. This research received no specific grant from any funding agency in the public, commercial, or not-for-profit sectors.</w:t>
      </w:r>
    </w:p>
    <w:p>
      <w:pPr>
        <w:pStyle w:val="BodyText"/>
      </w:pPr>
      <w:r>
        <w:rPr>
          <w:bCs/>
          <w:b/>
        </w:rPr>
        <w:t xml:space="preserve">Manuscript Classification</w:t>
      </w:r>
    </w:p>
    <w:p>
      <w:pPr>
        <w:numPr>
          <w:ilvl w:val="0"/>
          <w:numId w:val="1001"/>
        </w:numPr>
        <w:pStyle w:val="Compact"/>
      </w:pPr>
      <w:r>
        <w:t xml:space="preserve">Paper type: Research article</w:t>
      </w:r>
    </w:p>
    <w:p>
      <w:pPr>
        <w:numPr>
          <w:ilvl w:val="0"/>
          <w:numId w:val="1001"/>
        </w:numPr>
        <w:pStyle w:val="Compact"/>
      </w:pPr>
      <w:r>
        <w:t xml:space="preserve">Word count (main text, excluding abstract, references, tables, and figures): approximately 8,500 words</w:t>
      </w:r>
    </w:p>
    <w:p>
      <w:pPr>
        <w:numPr>
          <w:ilvl w:val="0"/>
          <w:numId w:val="1001"/>
        </w:numPr>
        <w:pStyle w:val="Compact"/>
      </w:pPr>
      <w:r>
        <w:t xml:space="preserve">Tables: 12 | Figures: 10 (will reduce in submission build to JABES preferred 5–6 tables + 4–6 figures, with supplementary tables migrated to online appendix)</w:t>
      </w:r>
    </w:p>
    <w:p>
      <w:pPr>
        <w:numPr>
          <w:ilvl w:val="0"/>
          <w:numId w:val="1001"/>
        </w:numPr>
        <w:pStyle w:val="Compact"/>
      </w:pPr>
      <w:r>
        <w:t xml:space="preserve">Keywords: internationalisation–performance; digital adoption; technological capability; export intensity; labour productivity; Singapore; advanced Asian economies</w:t>
      </w:r>
    </w:p>
    <w:p>
      <w:pPr>
        <w:numPr>
          <w:ilvl w:val="0"/>
          <w:numId w:val="1001"/>
        </w:numPr>
        <w:pStyle w:val="Compact"/>
      </w:pPr>
      <w:r>
        <w:t xml:space="preserve">JEL classification: F23, O33, D22, L25, O53</w:t>
      </w:r>
    </w:p>
    <w:p>
      <w:pPr>
        <w:pStyle w:val="FirstParagraph"/>
      </w:pPr>
      <w:r>
        <w:t xml:space="preserve">We hope the manuscript will be of interest to JABES's readership and look forward to the review process.</w:t>
      </w:r>
    </w:p>
    <w:p>
      <w:pPr>
        <w:pStyle w:val="BodyText"/>
      </w:pPr>
      <w:r>
        <w:t xml:space="preserve">Yours sincerely,</w:t>
      </w:r>
    </w:p>
    <w:p>
      <w:pPr>
        <w:pStyle w:val="BodyText"/>
      </w:pPr>
      <w:r>
        <w:rPr>
          <w:bCs/>
          <w:b/>
        </w:rPr>
        <w:t xml:space="preserve">Đỗ Thùy Hương (Do Thuy Huong)</w:t>
      </w:r>
      <w:r>
        <w:t xml:space="preserve"> </w:t>
      </w:r>
      <w:r>
        <w:t xml:space="preserve">PhD Candidate</w:t>
      </w:r>
      <w:r>
        <w:t xml:space="preserve"> </w:t>
      </w:r>
      <w:r>
        <w:t xml:space="preserve">School of Economics, Can Tho University (CTU), Vietnam</w:t>
      </w:r>
      <w:r>
        <w:t xml:space="preserve"> </w:t>
      </w:r>
      <w:r>
        <w:t xml:space="preserve">Email:</w:t>
      </w:r>
      <w:r>
        <w:t xml:space="preserve"> </w:t>
      </w:r>
      <w:hyperlink r:id="rId20">
        <w:r>
          <w:rPr>
            <w:rStyle w:val="Hyperlink"/>
          </w:rPr>
          <w:t xml:space="preserve">thuyhuongctu@gmail.com</w:t>
        </w:r>
      </w:hyperlink>
      <w:r>
        <w:t xml:space="preserve"> </w:t>
      </w:r>
      <w:r>
        <w:t xml:space="preserve">| ORCID: 0000-0002-7711-2487</w:t>
      </w:r>
    </w:p>
    <w:p>
      <w:pPr>
        <w:pStyle w:val="BodyText"/>
      </w:pPr>
      <w:r>
        <w:rPr>
          <w:bCs/>
          <w:b/>
        </w:rPr>
        <w:t xml:space="preserve">PGS.TS. Phan Anh Tú (Phan Anh Tu)</w:t>
      </w:r>
      <w:r>
        <w:t xml:space="preserve"> </w:t>
      </w:r>
      <w:r>
        <w:t xml:space="preserve">Associate Professor, School of Economics</w:t>
      </w:r>
      <w:r>
        <w:t xml:space="preserve"> </w:t>
      </w:r>
      <w:r>
        <w:t xml:space="preserve">Can Tho University (CTU), Vietnam</w:t>
      </w:r>
      <w:r>
        <w:t xml:space="preserve"> </w:t>
      </w:r>
      <w:r>
        <w:rPr>
          <w:iCs/>
          <w:i/>
        </w:rPr>
        <w:t xml:space="preserve">Corresponding author</w:t>
      </w:r>
      <w:r>
        <w:t xml:space="preserve"> </w:t>
      </w:r>
      <w:r>
        <w:t xml:space="preserve">Email:</w:t>
      </w:r>
      <w:r>
        <w:t xml:space="preserve"> </w:t>
      </w:r>
      <w:hyperlink r:id="rId21">
        <w:r>
          <w:rPr>
            <w:rStyle w:val="Hyperlink"/>
          </w:rPr>
          <w:t xml:space="preserve">patu@ctu.edu.vn</w:t>
        </w:r>
      </w:hyperlink>
      <w:r>
        <w:t xml:space="preserve"> </w:t>
      </w:r>
      <w:r>
        <w:t xml:space="preserve">| ORCID: 0000-0003-0667-3137</w:t>
      </w:r>
    </w:p>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mailto:patu@ctu.edu.vn" TargetMode="External" /><Relationship Type="http://schemas.openxmlformats.org/officeDocument/2006/relationships/hyperlink" Id="rId20" Target="mailto:thuyhuongctu@gmail.com" TargetMode="External" /></Relationships>
</file>

<file path=word/_rels/footnotes.xml.rels><?xml version="1.0" encoding="UTF-8"?><Relationships xmlns="http://schemas.openxmlformats.org/package/2006/relationships"><Relationship Type="http://schemas.openxmlformats.org/officeDocument/2006/relationships/hyperlink" Id="rId21" Target="mailto:patu@ctu.edu.vn" TargetMode="External" /><Relationship Type="http://schemas.openxmlformats.org/officeDocument/2006/relationships/hyperlink" Id="rId20" Target="mailto:thuyhuongctu@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2026-06-02T00:06:06Z</dcterms:created>
  <dcterms:modified xsi:type="dcterms:W3CDTF">2026-06-02T00:06:06Z</dcterms:modified>
</cp:coreProperties>
</file>

<file path=docProps/custom.xml><?xml version="1.0" encoding="utf-8"?>
<Properties xmlns="http://schemas.openxmlformats.org/officeDocument/2006/custom-properties" xmlns:vt="http://schemas.openxmlformats.org/officeDocument/2006/docPropsVTypes"/>
</file>