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 June 2026</w:t>
      </w:r>
    </w:p>
    <w:p>
      <w:pPr>
        <w:pStyle w:val="BodyText"/>
      </w:pPr>
      <w:r>
        <w:t xml:space="preserve">The Editor-in-Chief</w:t>
      </w:r>
      <w:r>
        <w:t xml:space="preserve"> </w:t>
      </w:r>
      <w:r>
        <w:rPr>
          <w:iCs/>
          <w:i/>
        </w:rPr>
        <w:t xml:space="preserve">International Journal of Emerging Markets</w:t>
      </w:r>
      <w:r>
        <w:t xml:space="preserve"> </w:t>
      </w:r>
      <w:r>
        <w:t xml:space="preserve">Emerald Publishing</w:t>
      </w:r>
    </w:p>
    <w:p>
      <w:r>
        <w:pict>
          <v:rect style="width:0;height:1.5pt" o:hralign="center" o:hrstd="t" o:hr="t"/>
        </w:pict>
      </w:r>
    </w:p>
    <w:p>
      <w:pPr>
        <w:pStyle w:val="FirstParagraph"/>
      </w:pPr>
      <w:r>
        <w:rPr>
          <w:bCs/>
          <w:b/>
        </w:rPr>
        <w:t xml:space="preserve">Submission of Manuscript: "The Export Intensity–Performance Relationship in Chinese Private Firms: A Threshold-Stability Perspective"</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International Journal of Emerging Markets</w:t>
      </w:r>
      <w:r>
        <w:t xml:space="preserve"> </w:t>
      </w:r>
      <w:r>
        <w:t xml:space="preserve">(IJOEM). The paper presents an empirical study of the export intensity–performance (I-P) relationship across two waves of World Bank Enterprise Survey microdata for Chinese private firms (2012, N = 2,610; 2024, N = 1,934; pooled N = 4,544), with a focus on the</w:t>
      </w:r>
      <w:r>
        <w:t xml:space="preserve"> </w:t>
      </w:r>
      <w:r>
        <w:rPr>
          <w:bCs/>
          <w:b/>
        </w:rPr>
        <w:t xml:space="preserve">structural durability</w:t>
      </w:r>
      <w:r>
        <w:t xml:space="preserve"> </w:t>
      </w:r>
      <w:r>
        <w:t xml:space="preserve">of the inverted-U turning point across 12 years of substantial institutional and digital change, and on the moderating roles of technological capability and foundational digital adoption.</w:t>
      </w:r>
    </w:p>
    <w:p>
      <w:pPr>
        <w:pStyle w:val="BodyText"/>
      </w:pPr>
      <w:r>
        <w:rPr>
          <w:bCs/>
          <w:b/>
        </w:rPr>
        <w:t xml:space="preserve">Fit with IJOEM</w:t>
      </w:r>
    </w:p>
    <w:p>
      <w:pPr>
        <w:pStyle w:val="BodyText"/>
      </w:pPr>
      <w:r>
        <w:t xml:space="preserve">The study aligns directly with IJOEM's core editorial mandate: rigorous firm-level evidence on emerging-market dynamics with theoretical contributions to international business. Three features make this manuscript a strong IJOEM candidate. First,</w:t>
      </w:r>
      <w:r>
        <w:t xml:space="preserve"> </w:t>
      </w:r>
      <w:r>
        <w:rPr>
          <w:bCs/>
          <w:b/>
        </w:rPr>
        <w:t xml:space="preserve">China's private firm sector</w:t>
      </w:r>
      <w:r>
        <w:t xml:space="preserve"> </w:t>
      </w:r>
      <w:r>
        <w:t xml:space="preserve">is the world's largest emerging-market firm population and a focal context for IJOEM's portfolio on emerging-market firm strategy. Second, the 2012–2024 window covers a uniquely consequential institutional transition (post-GFC trade re-equilibration, the China–US tariff escalation cycle, COVID-19 supply-chain disruption, and the maturation of digital infrastructure), providing an unusually demanding test of threshold-stability claims. Third, the paper engages directly with the broader I-P meta-analytic debate (Marano et al., 2016; Schwens et al., 2018) on heterogeneity sources — a methodological conversation IJOEM has actively shaped through its publications on emerging-market threshold effects.</w:t>
      </w:r>
    </w:p>
    <w:p>
      <w:pPr>
        <w:pStyle w:val="BodyText"/>
      </w:pPr>
      <w:r>
        <w:rPr>
          <w:bCs/>
          <w:b/>
        </w:rPr>
        <w:t xml:space="preserve">Key Contributions</w:t>
      </w:r>
    </w:p>
    <w:p>
      <w:pPr>
        <w:pStyle w:val="BodyText"/>
      </w:pPr>
      <w:r>
        <w:t xml:space="preserve">First, a robust inverted-U between export intensity and labour productivity is confirmed in both waves, with turning points clustered at 47–49% direct export intensity. The</w:t>
      </w:r>
      <w:r>
        <w:t xml:space="preserve"> </w:t>
      </w:r>
      <w:r>
        <w:rPr>
          <w:bCs/>
          <w:b/>
        </w:rPr>
        <w:t xml:space="preserve">threshold is structurally durable</w:t>
      </w:r>
      <w:r>
        <w:t xml:space="preserve">: Paternoster cross-wave z-tests fail to reject coefficient equality (FSTS z = +0.82, p = .412;</w:t>
      </w:r>
      <w:r>
        <w:t xml:space="preserve"> </w:t>
      </w:r>
      <m:oMath>
        <m:sSup>
          <m:e>
            <m:r>
              <m:rPr>
                <m:sty m:val="p"/>
              </m:rPr>
              <m:t>F</m:t>
            </m:r>
            <m:r>
              <m:rPr>
                <m:sty m:val="p"/>
              </m:rPr>
              <m:t>S</m:t>
            </m:r>
            <m:r>
              <m:rPr>
                <m:sty m:val="p"/>
              </m:rPr>
              <m:t>T</m:t>
            </m:r>
            <m:r>
              <m:rPr>
                <m:sty m:val="p"/>
              </m:rPr>
              <m:t>S</m:t>
            </m:r>
          </m:e>
          <m:sup>
            <m:r>
              <m:t>2</m:t>
            </m:r>
          </m:sup>
        </m:sSup>
      </m:oMath>
      <w:r>
        <w:t xml:space="preserve"> </w:t>
      </w:r>
      <w:r>
        <w:t xml:space="preserve">z = −0.61, p = .545), and the joint F-test on the cross-wave interactions is null (F(2, 3,558) = 2.24, p = .107). The point-estimate range of 47–49% across 12 years of institutional change is unusually tight evidence for the coordination-cost mechanism's stability in a rapidly transforming emerging-market context.</w:t>
      </w:r>
    </w:p>
    <w:p>
      <w:pPr>
        <w:pStyle w:val="BodyText"/>
      </w:pPr>
      <w:r>
        <w:t xml:space="preserve">Second,</w:t>
      </w:r>
      <w:r>
        <w:t xml:space="preserve"> </w:t>
      </w:r>
      <w:r>
        <w:rPr>
          <w:bCs/>
          <w:b/>
        </w:rPr>
        <w:t xml:space="preserve">technological capability (TCI)</w:t>
      </w:r>
      <w:r>
        <w:t xml:space="preserve"> </w:t>
      </w:r>
      <w:r>
        <w:t xml:space="preserve">is robustly positive across both waves (</w:t>
      </w:r>
      <m:oMath>
        <m:sSub>
          <m:e>
            <m:r>
              <m:t>β</m:t>
            </m:r>
          </m:e>
          <m:sub>
            <m:r>
              <m:t>z</m:t>
            </m:r>
          </m:sub>
        </m:sSub>
      </m:oMath>
      <w:r>
        <w:t xml:space="preserve"> </w:t>
      </w:r>
      <w:r>
        <w:t xml:space="preserve">= +0.28 in 2012; +0.43 in 2024; p &lt; .001 in each), and the Paternoster z-test on cross-wave change is significant (z = −2.55, p = .011), indicating that returns to technological capability are</w:t>
      </w:r>
      <w:r>
        <w:t xml:space="preserve"> </w:t>
      </w:r>
      <w:r>
        <w:rPr>
          <w:iCs/>
          <w:i/>
        </w:rPr>
        <w:t xml:space="preserve">strengthening</w:t>
      </w:r>
      <w:r>
        <w:t xml:space="preserve"> </w:t>
      </w:r>
      <w:r>
        <w:t xml:space="preserve">over time. This is consistent with a resource-based reading: as China's institutional environment matures, absorptive capacity translates more efficiently into productivity. The TCI×FSTS curvature moderation, however, is null (capability×curvature joint F p = .039 marginal; individual interaction coefficients p &gt; .4), indicating that capability is a robust</w:t>
      </w:r>
      <w:r>
        <w:t xml:space="preserve"> </w:t>
      </w:r>
      <w:r>
        <w:rPr>
          <w:iCs/>
          <w:i/>
        </w:rPr>
        <w:t xml:space="preserve">level-shifter</w:t>
      </w:r>
      <w:r>
        <w:t xml:space="preserve"> </w:t>
      </w:r>
      <w:r>
        <w:t xml:space="preserve">but not a</w:t>
      </w:r>
      <w:r>
        <w:t xml:space="preserve"> </w:t>
      </w:r>
      <w:r>
        <w:rPr>
          <w:iCs/>
          <w:i/>
        </w:rPr>
        <w:t xml:space="preserve">curvature moderator</w:t>
      </w:r>
      <w:r>
        <w:t xml:space="preserve"> </w:t>
      </w:r>
      <w:r>
        <w:t xml:space="preserve">of the I-P relationship — a refinement to the digital-capability literature that has implications for how emerging-market policy frameworks understand the role of technology investment.</w:t>
      </w:r>
    </w:p>
    <w:p>
      <w:pPr>
        <w:pStyle w:val="BodyText"/>
      </w:pPr>
      <w:r>
        <w:t xml:space="preserve">Third,</w:t>
      </w:r>
      <w:r>
        <w:t xml:space="preserve"> </w:t>
      </w:r>
      <w:r>
        <w:rPr>
          <w:bCs/>
          <w:b/>
        </w:rPr>
        <w:t xml:space="preserve">foundational digital adoption (DAI)</w:t>
      </w:r>
      <w:r>
        <w:t xml:space="preserve"> </w:t>
      </w:r>
      <w:r>
        <w:t xml:space="preserve">as a Tier-1 indicator (website presence) is positively associated with productivity in 2024 and pooled samples, but the moderation channels are null (DAI×FSTS curvature F p = .89 in companion manufacturing-SME work; consistent with the present findings). This complements companion evidence on Vietnam (Tier-1 obsolescence pattern) and Singapore (digital saturation paradox), providing</w:t>
      </w:r>
      <w:r>
        <w:t xml:space="preserve"> </w:t>
      </w:r>
      <w:r>
        <w:rPr>
          <w:bCs/>
          <w:b/>
        </w:rPr>
        <w:t xml:space="preserve">three-country triangulation</w:t>
      </w:r>
      <w:r>
        <w:t xml:space="preserve"> </w:t>
      </w:r>
      <w:r>
        <w:t xml:space="preserve">of the Conditional Digital Capability Moderation (CDCM) framework across distinct institutional regimes.</w:t>
      </w:r>
    </w:p>
    <w:p>
      <w:pPr>
        <w:pStyle w:val="BodyText"/>
      </w:pPr>
      <w:r>
        <w:rPr>
          <w:bCs/>
          <w:b/>
        </w:rPr>
        <w:t xml:space="preserve">Policy Relevance for Chinese Private-Firm Strategy</w:t>
      </w:r>
    </w:p>
    <w:p>
      <w:pPr>
        <w:pStyle w:val="BodyText"/>
      </w:pPr>
      <w:r>
        <w:t xml:space="preserve">The findings carry direct implications for China's Dual Circulation Economic Strategy and Belt and Road Initiative export-promotion frameworks. The 47–49% FSTS durability across institutional change suggests that long-horizon investment planning by Chinese private firms can treat this threshold as a stable benchmark. The null capability curvature moderation cautions against the assumption that technology investment alone can push the threshold rightward; structural factors (trade-finance access, market diversification) drive threshold location more than capability stock.</w:t>
      </w:r>
    </w:p>
    <w:p>
      <w:pPr>
        <w:pStyle w:val="BodyText"/>
      </w:pPr>
      <w:r>
        <w:rPr>
          <w:bCs/>
          <w:b/>
        </w:rPr>
        <w:t xml:space="preserve">Originality and Declarations</w:t>
      </w:r>
    </w:p>
    <w:p>
      <w:pPr>
        <w:pStyle w:val="BodyText"/>
      </w:pPr>
      <w:r>
        <w:t xml:space="preserve">This manuscript is original, has not been published previously, and is not under consideration for publication elsewhere. All authors have approved the manuscript and agree to its submission. The authors declare no conflict of interest. This research received no specific grant from any funding agency in the public, commercial, or not-for-profit sectors.</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excluding abstract, references, tables, and figures): approximately 9,500 words</w:t>
      </w:r>
    </w:p>
    <w:p>
      <w:pPr>
        <w:numPr>
          <w:ilvl w:val="0"/>
          <w:numId w:val="1001"/>
        </w:numPr>
        <w:pStyle w:val="Compact"/>
      </w:pPr>
      <w:r>
        <w:t xml:space="preserve">Tables: 3; Figures: 4</w:t>
      </w:r>
    </w:p>
    <w:p>
      <w:pPr>
        <w:numPr>
          <w:ilvl w:val="0"/>
          <w:numId w:val="1001"/>
        </w:numPr>
        <w:pStyle w:val="Compact"/>
      </w:pPr>
      <w:r>
        <w:t xml:space="preserve">Keywords: export intensity; firm performance; threshold stability; technological capability; digital adoption; China; emerging markets</w:t>
      </w:r>
    </w:p>
    <w:p>
      <w:pPr>
        <w:numPr>
          <w:ilvl w:val="0"/>
          <w:numId w:val="1001"/>
        </w:numPr>
        <w:pStyle w:val="Compact"/>
      </w:pPr>
      <w:r>
        <w:t xml:space="preserve">JEL classification: F23, O33, D22, L25, O53, P31</w:t>
      </w:r>
    </w:p>
    <w:p>
      <w:pPr>
        <w:pStyle w:val="FirstParagraph"/>
      </w:pPr>
      <w:r>
        <w:t xml:space="preserve">We hope the manuscript will be of interest to IJOEM's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w:t>
      </w:r>
      <w:r>
        <w:t xml:space="preserve"> </w:t>
      </w:r>
      <w:r>
        <w:t xml:space="preserve">School of Economics, Can Tho University (CTU), Vietnam</w:t>
      </w:r>
      <w:r>
        <w:t xml:space="preserve"> </w:t>
      </w:r>
      <w:r>
        <w:t xml:space="preserve">Email:</w:t>
      </w:r>
      <w:r>
        <w:t xml:space="preserve"> </w:t>
      </w:r>
      <w:hyperlink r:id="rId20">
        <w:r>
          <w:rPr>
            <w:rStyle w:val="Hyperlink"/>
          </w:rPr>
          <w:t xml:space="preserve">thuyhuongctu@gmail.com</w:t>
        </w:r>
      </w:hyperlink>
      <w:r>
        <w:t xml:space="preserve"> </w:t>
      </w:r>
      <w:r>
        <w:t xml:space="preserve">| ORCID: 0000-0002-7711-2487</w:t>
      </w:r>
    </w:p>
    <w:p>
      <w:pPr>
        <w:pStyle w:val="BodyText"/>
      </w:pPr>
      <w:r>
        <w:rPr>
          <w:bCs/>
          <w:b/>
        </w:rPr>
        <w:t xml:space="preserve">PGS.TS. Phan Anh Tú (Phan Anh Tu)</w:t>
      </w:r>
      <w:r>
        <w:t xml:space="preserve"> </w:t>
      </w:r>
      <w:r>
        <w:t xml:space="preserve">Associate Professor, School of Economics</w:t>
      </w:r>
      <w:r>
        <w:t xml:space="preserve"> </w:t>
      </w:r>
      <w:r>
        <w:t xml:space="preserve">Can Tho University (CTU), Vietnam</w:t>
      </w:r>
      <w:r>
        <w:t xml:space="preserve"> </w:t>
      </w:r>
      <w:r>
        <w:rPr>
          <w:iCs/>
          <w:i/>
        </w:rPr>
        <w:t xml:space="preserve">Corresponding author</w:t>
      </w:r>
      <w:r>
        <w:t xml:space="preserve"> </w:t>
      </w:r>
      <w:r>
        <w:t xml:space="preserve">Email:</w:t>
      </w:r>
      <w:r>
        <w:t xml:space="preserve"> </w:t>
      </w:r>
      <w:hyperlink r:id="rId21">
        <w:r>
          <w:rPr>
            <w:rStyle w:val="Hyperlink"/>
          </w:rPr>
          <w:t xml:space="preserve">patu@ctu.edu.vn</w:t>
        </w:r>
      </w:hyperlink>
      <w:r>
        <w:t xml:space="preserve"> </w:t>
      </w:r>
      <w:r>
        <w:t xml:space="preserve">| ORCID: 0000-0003-0667-3137</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_rels/footnotes.xml.rels><?xml version="1.0" encoding="UTF-8"?><Relationships xmlns="http://schemas.openxmlformats.org/package/2006/relationships"><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2026-06-02T00:06:07Z</dcterms:created>
  <dcterms:modified xsi:type="dcterms:W3CDTF">2026-06-02T00:06:07Z</dcterms:modified>
</cp:coreProperties>
</file>

<file path=docProps/custom.xml><?xml version="1.0" encoding="utf-8"?>
<Properties xmlns="http://schemas.openxmlformats.org/officeDocument/2006/custom-properties" xmlns:vt="http://schemas.openxmlformats.org/officeDocument/2006/docPropsVTypes"/>
</file>