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Q3 2026</w:t>
      </w:r>
    </w:p>
    <w:p>
      <w:pPr>
        <w:pStyle w:val="BodyText"/>
      </w:pPr>
      <w:r>
        <w:t xml:space="preserve">Professor Mike W. Peng</w:t>
      </w:r>
      <w:r>
        <w:t xml:space="preserve"> </w:t>
      </w:r>
      <w:r>
        <w:t xml:space="preserve">Editor-in-Chief</w:t>
      </w:r>
      <w:r>
        <w:t xml:space="preserve"> </w:t>
      </w:r>
      <w:r>
        <w:rPr>
          <w:iCs/>
          <w:i/>
        </w:rPr>
        <w:t xml:space="preserve">Asia Pacific Journal of Management</w:t>
      </w:r>
      <w:r>
        <w:t xml:space="preserve"> </w:t>
      </w:r>
      <w:r>
        <w:t xml:space="preserve">Springer Nature</w:t>
      </w:r>
    </w:p>
    <w:p>
      <w:pPr>
        <w:pStyle w:val="BodyText"/>
      </w:pPr>
      <w:r>
        <w:rPr>
          <w:bCs/>
          <w:b/>
        </w:rPr>
        <w:t xml:space="preserve">Submission of Manuscript:</w:t>
      </w:r>
      <w:r>
        <w:t xml:space="preserve"> </w:t>
      </w:r>
      <w:r>
        <w:t xml:space="preserve">“</w:t>
      </w:r>
      <w:r>
        <w:t xml:space="preserve">Institutional Context, Digital Adoption, and the Internationalization–Performance Relationship: A Three-Level Meta-Analysis</w:t>
      </w:r>
      <w:r>
        <w:t xml:space="preserve">”</w:t>
      </w:r>
    </w:p>
    <w:p>
      <w:pPr>
        <w:pStyle w:val="BodyText"/>
      </w:pPr>
      <w:r>
        <w:t xml:space="preserve">Dear Professor Peng,</w:t>
      </w:r>
    </w:p>
    <w:p>
      <w:pPr>
        <w:pStyle w:val="BodyText"/>
      </w:pPr>
      <w:r>
        <w:t xml:space="preserve">We are pleased to submit the above manuscript for consideration as a Research Paper in the</w:t>
      </w:r>
      <w:r>
        <w:t xml:space="preserve"> </w:t>
      </w:r>
      <w:r>
        <w:rPr>
          <w:iCs/>
          <w:i/>
        </w:rPr>
        <w:t xml:space="preserve">Asia Pacific Journal of Management</w:t>
      </w:r>
      <w:r>
        <w:t xml:space="preserve">. The paper reports a pre-registered, three-level meta-analytic regression analysis (MARA) of the internationalization–performance (I–P) relationship across a</w:t>
      </w:r>
      <w:r>
        <w:t xml:space="preserve"> </w:t>
      </w:r>
      <w:r>
        <w:rPr>
          <w:iCs/>
          <w:i/>
        </w:rPr>
        <w:t xml:space="preserve">k</w:t>
      </w:r>
      <w:r>
        <w:t xml:space="preserve"> </w:t>
      </w:r>
      <w:r>
        <w:t xml:space="preserve">= 238 /</w:t>
      </w:r>
      <w:r>
        <w:t xml:space="preserve"> </w:t>
      </w:r>
      <w:r>
        <w:rPr>
          <w:iCs/>
          <w:i/>
        </w:rPr>
        <w:t xml:space="preserve">K</w:t>
      </w:r>
      <w:r>
        <w:t xml:space="preserve"> </w:t>
      </w:r>
      <w:r>
        <w:t xml:space="preserve">= 288 corpus drawn from 45 economies and four decades (1977–2025), and contributes a new firm-relevant institutional contingency construct — the</w:t>
      </w:r>
      <w:r>
        <w:t xml:space="preserve"> </w:t>
      </w:r>
      <w:r>
        <w:rPr>
          <w:bCs/>
          <w:b/>
        </w:rPr>
        <w:t xml:space="preserve">Institutional Context Regime Variation (ICRV)</w:t>
      </w:r>
      <w:r>
        <w:t xml:space="preserve"> </w:t>
      </w:r>
      <w:r>
        <w:t xml:space="preserve">taxonomy — to the Asia-Pacific IB literature.</w:t>
      </w:r>
    </w:p>
    <w:p>
      <w:pPr>
        <w:pStyle w:val="BodyText"/>
      </w:pPr>
      <w:r>
        <w:rPr>
          <w:bCs/>
          <w:b/>
        </w:rPr>
        <w:t xml:space="preserve">Fit with the Asia Pacific Journal of Management.</w:t>
      </w:r>
      <w:r>
        <w:t xml:space="preserve"> </w:t>
      </w:r>
      <w:r>
        <w:t xml:space="preserve">APJM’s mandate is to advance management research that is theoretically and empirically grounded in the Asia-Pacific region and that speaks to firm strategy in heterogeneous institutional contexts. The I–P relationship is the most meta-analyzed question in international business, yet pooled positive effects coexist with substantial unresolved heterogeneity (</w:t>
      </w:r>
      <w:r>
        <w:rPr>
          <w:iCs/>
          <w:i/>
        </w:rPr>
        <w:t xml:space="preserve">I</w:t>
      </w:r>
      <w:r>
        <w:t xml:space="preserve">² regularly exceeds 80% across prior meta-analyses), and existing meta-analytic typologies have not disaggregated the Asia-Pacific institutional spectrum at the resolution required to test theoretical predictions about regime-contingent capability deployment. Our contribution is exactly that disaggregation: we develop and formally test, at the meta-analytic level, an institutional contingency construct (ICRV) that orders 45 Asian and Pacific economies on a two-axis institutional-capability × resource-vulnerability ordering, and we integrate established channels from prior IB theory — rent protection (Kogut &amp; Zander, 1993), liability-of-foreignness attenuation (Zaheer, 1995; Peng, Wang, &amp; Jiang, 2008), and institutional-void amplification (Khanna &amp; Palepu, 2010) — into a single mechanism that predicts the signatures of an institutional gradient in cross-border capability deployment. The findings speak directly to APJM’s mandate to advance theory and evidence on firm strategy under heterogeneous institutional regimes in the Asia-Pacific region.</w:t>
      </w:r>
    </w:p>
    <w:p>
      <w:pPr>
        <w:pStyle w:val="BodyText"/>
      </w:pPr>
      <w:r>
        <w:rPr>
          <w:bCs/>
          <w:b/>
        </w:rPr>
        <w:t xml:space="preserve">Key contributions.</w:t>
      </w:r>
    </w:p>
    <w:p>
      <w:pPr>
        <w:pStyle w:val="BodyText"/>
      </w:pPr>
      <w:r>
        <w:t xml:space="preserve">First, this is the first</w:t>
      </w:r>
      <w:r>
        <w:t xml:space="preserve"> </w:t>
      </w:r>
      <w:r>
        <w:rPr>
          <w:bCs/>
          <w:b/>
        </w:rPr>
        <w:t xml:space="preserve">three-level meta-analytic test of Capability–Institution Mismatch Theory (CIMT)</w:t>
      </w:r>
      <w:r>
        <w:t xml:space="preserve"> </w:t>
      </w:r>
      <w:r>
        <w:t xml:space="preserve">in the Asia-Pacific I–P literature. CIMT, developed in §2.2 as a middle-range integrative framework (in the sense of Merton, 1968; Whetten, 1989), synthesises three established sub-channels through which home-country institutions condition the productivity returns to internationalisation when firm capabilities are out of phase with the institutional regime: (i)</w:t>
      </w:r>
      <w:r>
        <w:t xml:space="preserve"> </w:t>
      </w:r>
      <w:r>
        <w:rPr>
          <w:bCs/>
          <w:b/>
        </w:rPr>
        <w:t xml:space="preserve">rent protection</w:t>
      </w:r>
      <w:r>
        <w:t xml:space="preserve"> </w:t>
      </w:r>
      <w:r>
        <w:t xml:space="preserve">(strong IP and contract enforcement preserve proprietary rents across foreign markets; Kogut &amp; Zander, 1993; Zaheer, 1995); (ii)</w:t>
      </w:r>
      <w:r>
        <w:t xml:space="preserve"> </w:t>
      </w:r>
      <w:r>
        <w:rPr>
          <w:bCs/>
          <w:b/>
        </w:rPr>
        <w:t xml:space="preserve">liability-of-foreignness attenuation</w:t>
      </w:r>
      <w:r>
        <w:t xml:space="preserve"> </w:t>
      </w:r>
      <w:r>
        <w:t xml:space="preserve">(transparent regulation shrinks the discriminatory and informational costs of cross-border operation; Peng, Wang, &amp; Jiang, 2008; Zaheer, 1995); (iii)</w:t>
      </w:r>
      <w:r>
        <w:t xml:space="preserve"> </w:t>
      </w:r>
      <w:r>
        <w:rPr>
          <w:bCs/>
          <w:b/>
        </w:rPr>
        <w:t xml:space="preserve">institutional-void amplification</w:t>
      </w:r>
      <w:r>
        <w:t xml:space="preserve"> </w:t>
      </w:r>
      <w:r>
        <w:t xml:space="preserve">(weak institutions force firms to invest in substitute governance — relationship capital, political connections, informal contracts — that depress net returns; Khanna &amp; Palepu, 2010). The mechanism is tested through three pre-registered hypotheses: H1 (ICRV between-regime variance), H2 (DPL phase moderation), and H3 (country-level digital adoption cDAI moderation).</w:t>
      </w:r>
    </w:p>
    <w:p>
      <w:pPr>
        <w:pStyle w:val="BodyText"/>
      </w:pPr>
      <w:r>
        <w:t xml:space="preserve">Second, this is the first three-level MARA applied to the I–P literature. Decomposing total heterogeneity (</w:t>
      </w:r>
      <w:r>
        <w:rPr>
          <w:iCs/>
          <w:i/>
        </w:rPr>
        <w:t xml:space="preserve">I</w:t>
      </w:r>
      <w:r>
        <w:t xml:space="preserve">² = 87.8%) shows that the dominant share is</w:t>
      </w:r>
      <w:r>
        <w:t xml:space="preserve"> </w:t>
      </w:r>
      <w:r>
        <w:rPr>
          <w:iCs/>
          <w:i/>
        </w:rPr>
        <w:t xml:space="preserve">within</w:t>
      </w:r>
      <w:r>
        <w:t xml:space="preserve">-study (Level-2</w:t>
      </w:r>
      <w:r>
        <w:t xml:space="preserve"> </w:t>
      </w:r>
      <w:r>
        <w:rPr>
          <w:iCs/>
          <w:i/>
        </w:rPr>
        <w:t xml:space="preserve">I</w:t>
      </w:r>
      <w:r>
        <w:t xml:space="preserve">² = 76.1%) rather than</w:t>
      </w:r>
      <w:r>
        <w:t xml:space="preserve"> </w:t>
      </w:r>
      <w:r>
        <w:rPr>
          <w:iCs/>
          <w:i/>
        </w:rPr>
        <w:t xml:space="preserve">between</w:t>
      </w:r>
      <w:r>
        <w:t xml:space="preserve">-study (Level-3</w:t>
      </w:r>
      <w:r>
        <w:t xml:space="preserve"> </w:t>
      </w:r>
      <w:r>
        <w:rPr>
          <w:iCs/>
          <w:i/>
        </w:rPr>
        <w:t xml:space="preserve">I</w:t>
      </w:r>
      <w:r>
        <w:t xml:space="preserve">² = 11.8%) — evidence that effect-size dispersion is driven more by within-paper design variation than by between-country contextual differences. This reframes how the field should interpret I–P heterogeneity in Asia-Pacific firm research.</w:t>
      </w:r>
    </w:p>
    <w:p>
      <w:pPr>
        <w:pStyle w:val="BodyText"/>
      </w:pPr>
      <w:r>
        <w:t xml:space="preserve">Third, the ICRV institutional gradient receives</w:t>
      </w:r>
      <w:r>
        <w:t xml:space="preserve"> </w:t>
      </w:r>
      <w:r>
        <w:rPr>
          <w:bCs/>
          <w:b/>
        </w:rPr>
        <w:t xml:space="preserve">fragile support</w:t>
      </w:r>
      <w:r>
        <w:t xml:space="preserve">: the full-sample between-regime Q_M test is significant (</w:t>
      </w:r>
      <w:r>
        <w:rPr>
          <w:iCs/>
          <w:i/>
        </w:rPr>
        <w:t xml:space="preserve">Q</w:t>
      </w:r>
      <w:r>
        <w:t xml:space="preserve">_M = 17.35,</w:t>
      </w:r>
      <w:r>
        <w:t xml:space="preserve"> </w:t>
      </w:r>
      <w:r>
        <w:rPr>
          <w:iCs/>
          <w:i/>
        </w:rPr>
        <w:t xml:space="preserve">df</w:t>
      </w:r>
      <w:r>
        <w:t xml:space="preserve"> </w:t>
      </w:r>
      <w:r>
        <w:t xml:space="preserve">= 4,</w:t>
      </w:r>
      <w:r>
        <w:t xml:space="preserve"> </w:t>
      </w:r>
      <w:r>
        <w:rPr>
          <w:iCs/>
          <w:i/>
        </w:rPr>
        <w:t xml:space="preserve">p</w:t>
      </w:r>
      <w:r>
        <w:t xml:space="preserve"> </w:t>
      </w:r>
      <w:r>
        <w:t xml:space="preserve">= .002) but collapses to non-significance under a drop-Frontier sensitivity test (</w:t>
      </w:r>
      <w:r>
        <w:rPr>
          <w:iCs/>
          <w:i/>
        </w:rPr>
        <w:t xml:space="preserve">Q</w:t>
      </w:r>
      <w:r>
        <w:t xml:space="preserve">_M = 1.49,</w:t>
      </w:r>
      <w:r>
        <w:t xml:space="preserve"> </w:t>
      </w:r>
      <w:r>
        <w:rPr>
          <w:iCs/>
          <w:i/>
        </w:rPr>
        <w:t xml:space="preserve">p</w:t>
      </w:r>
      <w:r>
        <w:t xml:space="preserve"> </w:t>
      </w:r>
      <w:r>
        <w:t xml:space="preserve">= .68), indicating that current sample sizes lack sufficient between-regime variation in the diagnostic cells (particularly Frontier</w:t>
      </w:r>
      <w:r>
        <w:t xml:space="preserve"> </w:t>
      </w:r>
      <w:r>
        <w:rPr>
          <w:iCs/>
          <w:i/>
        </w:rPr>
        <w:t xml:space="preserve">K</w:t>
      </w:r>
      <w:r>
        <w:t xml:space="preserve"> </w:t>
      </w:r>
      <w:r>
        <w:t xml:space="preserve">= 3 and Upper-middle</w:t>
      </w:r>
      <w:r>
        <w:t xml:space="preserve"> </w:t>
      </w:r>
      <w:r>
        <w:rPr>
          <w:iCs/>
          <w:i/>
        </w:rPr>
        <w:t xml:space="preserve">K</w:t>
      </w:r>
      <w:r>
        <w:t xml:space="preserve"> </w:t>
      </w:r>
      <w:r>
        <w:t xml:space="preserve">= 25) to fully adjudicate the gradient. The directional propositions E1a and E1b and the digital-adoption moderators (cDAI Q_M = 1.23,</w:t>
      </w:r>
      <w:r>
        <w:t xml:space="preserve"> </w:t>
      </w:r>
      <w:r>
        <w:rPr>
          <w:iCs/>
          <w:i/>
        </w:rPr>
        <w:t xml:space="preserve">p</w:t>
      </w:r>
      <w:r>
        <w:t xml:space="preserve"> </w:t>
      </w:r>
      <w:r>
        <w:t xml:space="preserve">= .541; DPL Q_M = 0.56,</w:t>
      </w:r>
      <w:r>
        <w:t xml:space="preserve"> </w:t>
      </w:r>
      <w:r>
        <w:rPr>
          <w:iCs/>
          <w:i/>
        </w:rPr>
        <w:t xml:space="preserve">p</w:t>
      </w:r>
      <w:r>
        <w:t xml:space="preserve"> </w:t>
      </w:r>
      <w:r>
        <w:t xml:space="preserve">= .755) are similarly not robustly confirmed at</w:t>
      </w:r>
      <w:r>
        <w:t xml:space="preserve"> </w:t>
      </w:r>
      <w:r>
        <w:rPr>
          <w:iCs/>
          <w:i/>
        </w:rPr>
        <w:t xml:space="preserve">k</w:t>
      </w:r>
      <w:r>
        <w:t xml:space="preserve"> </w:t>
      </w:r>
      <w:r>
        <w:t xml:space="preserve">= 238. These transparent null results bound the conditions under which country-level institutional and digital contingencies could plausibly operate at the meta-analytic level, and they set up a rigorous, pre-registered formal-search replication on a corpus of</w:t>
      </w:r>
      <w:r>
        <w:t xml:space="preserve"> </w:t>
      </w:r>
      <w:r>
        <w:rPr>
          <w:iCs/>
          <w:i/>
        </w:rPr>
        <w:t xml:space="preserve">k</w:t>
      </w:r>
      <w:r>
        <w:t xml:space="preserve"> </w:t>
      </w:r>
      <w:r>
        <w:t xml:space="preserve">≈ 600–700 (Path B, deposited on OSF) as the natural next step.</w:t>
      </w:r>
    </w:p>
    <w:p>
      <w:pPr>
        <w:pStyle w:val="BodyText"/>
      </w:pPr>
      <w:r>
        <w:t xml:space="preserve">Fourth, and most consequential for APJM’s Asia-Pacific firm-management readership, the analysis documents</w:t>
      </w:r>
      <w:r>
        <w:t xml:space="preserve"> </w:t>
      </w:r>
      <w:r>
        <w:rPr>
          <w:bCs/>
          <w:b/>
        </w:rPr>
        <w:t xml:space="preserve">substantial publication bias</w:t>
      </w:r>
      <w:r>
        <w:t xml:space="preserve"> </w:t>
      </w:r>
      <w:r>
        <w:t xml:space="preserve">in the four-decade I–P evidence base. Trim-and-fill imputes</w:t>
      </w:r>
      <w:r>
        <w:t xml:space="preserve"> </w:t>
      </w:r>
      <w:r>
        <w:rPr>
          <w:iCs/>
          <w:i/>
        </w:rPr>
        <w:t xml:space="preserve">k</w:t>
      </w:r>
      <w:r>
        <w:t xml:space="preserve"> </w:t>
      </w:r>
      <w:r>
        <w:t xml:space="preserve">= 58 missing studies and cuts the pooled effect from</w:t>
      </w:r>
      <w:r>
        <w:t xml:space="preserve"> </w:t>
      </w:r>
      <w:r>
        <w:rPr>
          <w:iCs/>
          <w:i/>
        </w:rPr>
        <w:t xml:space="preserve">r</w:t>
      </w:r>
      <w:r>
        <w:t xml:space="preserve"> </w:t>
      </w:r>
      <w:r>
        <w:t xml:space="preserve">= 0.074 to</w:t>
      </w:r>
      <w:r>
        <w:t xml:space="preserve"> </w:t>
      </w:r>
      <w:r>
        <w:rPr>
          <w:iCs/>
          <w:i/>
        </w:rPr>
        <w:t xml:space="preserve">r</w:t>
      </w:r>
      <w:r>
        <w:t xml:space="preserve"> </w:t>
      </w:r>
      <w:r>
        <w:t xml:space="preserve">= 0.035, an implied ~53% attenuation (Begg</w:t>
      </w:r>
      <w:r>
        <w:t xml:space="preserve"> </w:t>
      </w:r>
      <w:r>
        <w:rPr>
          <w:iCs/>
          <w:i/>
        </w:rPr>
        <w:t xml:space="preserve">p</w:t>
      </w:r>
      <w:r>
        <w:t xml:space="preserve"> </w:t>
      </w:r>
      <w:r>
        <w:t xml:space="preserve">&lt; .001; Egger</w:t>
      </w:r>
      <w:r>
        <w:t xml:space="preserve"> </w:t>
      </w:r>
      <w:r>
        <w:rPr>
          <w:iCs/>
          <w:i/>
        </w:rPr>
        <w:t xml:space="preserve">p</w:t>
      </w:r>
      <w:r>
        <w:t xml:space="preserve"> </w:t>
      </w:r>
      <w:r>
        <w:t xml:space="preserve">= .057). The practical implication for Asia-Pacific managers and policy makers is that the average performance return to internationalisation in the regional literature may be materially smaller than commonly cited estimates suggest, and firm-level capability investment is likely to dominate country-level digital infrastructure as a determinant of cross-border performance returns.</w:t>
      </w:r>
    </w:p>
    <w:p>
      <w:pPr>
        <w:pStyle w:val="BodyText"/>
      </w:pPr>
      <w:r>
        <w:rPr>
          <w:bCs/>
          <w:b/>
        </w:rPr>
        <w:t xml:space="preserve">Manuscript readiness.</w:t>
      </w:r>
    </w:p>
    <w:p>
      <w:pPr>
        <w:numPr>
          <w:ilvl w:val="0"/>
          <w:numId w:val="1001"/>
        </w:numPr>
        <w:pStyle w:val="Compact"/>
      </w:pPr>
      <w:r>
        <w:t xml:space="preserve">The manuscript follows APJM’s standard structure for research papers and adopts a structured abstract format (Purpose / Design / Findings / Originality / Implications).</w:t>
      </w:r>
    </w:p>
    <w:p>
      <w:pPr>
        <w:numPr>
          <w:ilvl w:val="0"/>
          <w:numId w:val="1001"/>
        </w:numPr>
        <w:pStyle w:val="Compact"/>
      </w:pPr>
      <w:r>
        <w:t xml:space="preserve">Word count: the main text is within APJM’s standard envelope; extended methodological appendices (PRISMA 2020 flow; 7-moderator coding protocol; MetaEssentials-vs-</w:t>
      </w:r>
      <w:r>
        <w:rPr>
          <w:rStyle w:val="VerbatimChar"/>
        </w:rPr>
        <w:t xml:space="preserve">metafor</w:t>
      </w:r>
      <w:r>
        <w:t xml:space="preserve"> </w:t>
      </w:r>
      <w:r>
        <w:t xml:space="preserve">consistency check), the detailed eligibility criteria, the cDAI and DPL subgroup tables, the full robustness-checks table, the Section 3.2 PRISMA screening narrative, and extended methodological notes are migrated to OSF as Supp-A through Supp-M (https://osf.io/z37kn).</w:t>
      </w:r>
    </w:p>
    <w:p>
      <w:pPr>
        <w:numPr>
          <w:ilvl w:val="0"/>
          <w:numId w:val="1001"/>
        </w:numPr>
        <w:pStyle w:val="Compact"/>
      </w:pPr>
      <w:r>
        <w:t xml:space="preserve">The single-coder extraction is transparently disclosed in §3.1 (Deviation #4 from pre-registration), §3.3.2 (Coding Quality and Verification), and §5 (Limitations); coding quality is supported by pilot calibration (10-study pilot, ambiguous decision rules refined and documented), double-entry verification (numeric effect-size inputs and categorical moderator codes re-entered and reconciled against source PDFs), and mechanical reproducibility for moderator codes anchored in external reference tables (ICRV/WGI, cDAI/World Bank–ITU, DPL/median data year). A dual-coded reliability check is a stated priority for the formal-search expansion.</w:t>
      </w:r>
    </w:p>
    <w:p>
      <w:pPr>
        <w:numPr>
          <w:ilvl w:val="0"/>
          <w:numId w:val="1001"/>
        </w:numPr>
        <w:pStyle w:val="Compact"/>
      </w:pPr>
      <w:r>
        <w:t xml:space="preserve">The pre-registration (https://osf.io/z37kn; DOI: 10.17605/OSF.IO/Z37KN; registered May 18, 2026 —</w:t>
      </w:r>
      <w:r>
        <w:t xml:space="preserve"> </w:t>
      </w:r>
      <w:r>
        <w:rPr>
          <w:iCs/>
          <w:i/>
        </w:rPr>
        <w:t xml:space="preserve">prior</w:t>
      </w:r>
      <w:r>
        <w:t xml:space="preserve"> </w:t>
      </w:r>
      <w:r>
        <w:t xml:space="preserve">to effect-size extraction, PRISMA 2020 Item 24a), the full coded study database, the R replication scripts (</w:t>
      </w:r>
      <w:r>
        <w:rPr>
          <w:rStyle w:val="VerbatimChar"/>
        </w:rPr>
        <w:t xml:space="preserve">metafor</w:t>
      </w:r>
      <w:r>
        <w:t xml:space="preserve">), an independent Python cross-check (</w:t>
      </w:r>
      <w:r>
        <w:rPr>
          <w:rStyle w:val="VerbatimChar"/>
        </w:rPr>
        <w:t xml:space="preserve">verify_moderator_qm.py</w:t>
      </w:r>
      <w:r>
        <w:t xml:space="preserve">), and the PRISMA 2020 27-item checklist are openly deposited on OSF.</w:t>
      </w:r>
    </w:p>
    <w:p>
      <w:pPr>
        <w:pStyle w:val="FirstParagraph"/>
      </w:pPr>
      <w:r>
        <w:rPr>
          <w:bCs/>
          <w:b/>
        </w:rPr>
        <w:t xml:space="preserve">Originality, ethics, and conflicts of interest.</w:t>
      </w:r>
      <w:r>
        <w:t xml:space="preserve"> </w:t>
      </w:r>
      <w:r>
        <w:t xml:space="preserve">This manuscript is original, has not been published previously, and is not under consideration elsewhere. Both authors approved the submission. The authors declare no conflict of interest. The research received no specific grant from any funding agency in the public, commercial, or not-for-profit sectors. No human or animal subjects were involved.</w:t>
      </w:r>
    </w:p>
    <w:p>
      <w:pPr>
        <w:pStyle w:val="BodyText"/>
      </w:pPr>
      <w:r>
        <w:rPr>
          <w:bCs/>
          <w:b/>
        </w:rPr>
        <w:t xml:space="preserve">Suggested reviewers.</w:t>
      </w:r>
      <w:r>
        <w:t xml:space="preserve"> </w:t>
      </w:r>
      <w:r>
        <w:t xml:space="preserve">We would be pleased to propose suggested reviewers with subject-matter expertise in Asian I–B meta-analysis, institutional theory, and capability-deployment research upon request.</w:t>
      </w:r>
    </w:p>
    <w:p>
      <w:pPr>
        <w:pStyle w:val="BodyText"/>
      </w:pPr>
      <w:r>
        <w:rPr>
          <w:bCs/>
          <w:b/>
        </w:rPr>
        <w:t xml:space="preserve">Manuscript classification.</w:t>
      </w:r>
    </w:p>
    <w:p>
      <w:pPr>
        <w:numPr>
          <w:ilvl w:val="0"/>
          <w:numId w:val="1002"/>
        </w:numPr>
        <w:pStyle w:val="Compact"/>
      </w:pPr>
      <w:r>
        <w:t xml:space="preserve">Paper type: Research paper (meta-analysis)</w:t>
      </w:r>
    </w:p>
    <w:p>
      <w:pPr>
        <w:numPr>
          <w:ilvl w:val="0"/>
          <w:numId w:val="1002"/>
        </w:numPr>
        <w:pStyle w:val="Compact"/>
      </w:pPr>
      <w:r>
        <w:t xml:space="preserve">Studies (</w:t>
      </w:r>
      <w:r>
        <w:rPr>
          <w:iCs/>
          <w:i/>
        </w:rPr>
        <w:t xml:space="preserve">k</w:t>
      </w:r>
      <w:r>
        <w:t xml:space="preserve">): 238; effect sizes (</w:t>
      </w:r>
      <w:r>
        <w:rPr>
          <w:iCs/>
          <w:i/>
        </w:rPr>
        <w:t xml:space="preserve">K</w:t>
      </w:r>
      <w:r>
        <w:t xml:space="preserve">): 288; economies: 45 (Asian and Pacific scope)</w:t>
      </w:r>
    </w:p>
    <w:p>
      <w:pPr>
        <w:numPr>
          <w:ilvl w:val="0"/>
          <w:numId w:val="1002"/>
        </w:numPr>
        <w:pStyle w:val="Compact"/>
      </w:pPr>
      <w:r>
        <w:t xml:space="preserve">Keywords: internationalization–performance; meta-analysis; three-level model; institutional context regime variation (ICRV); digital adoption; publication bias; Asia-Pacific</w:t>
      </w:r>
    </w:p>
    <w:p>
      <w:pPr>
        <w:pStyle w:val="FirstParagraph"/>
      </w:pPr>
      <w:r>
        <w:t xml:space="preserve">We thank you and the editorial team in advance for considering the manuscript.</w:t>
      </w:r>
    </w:p>
    <w:p>
      <w:pPr>
        <w:pStyle w:val="BodyText"/>
      </w:pPr>
      <w:r>
        <w:t xml:space="preserve">Yours sincerely,</w:t>
      </w:r>
    </w:p>
    <w:p>
      <w:pPr>
        <w:pStyle w:val="BodyText"/>
      </w:pPr>
      <w:r>
        <w:rPr>
          <w:bCs/>
          <w:b/>
        </w:rPr>
        <w:t xml:space="preserve">Phan Anh Tú</w:t>
      </w:r>
      <w:r>
        <w:t xml:space="preserve"> </w:t>
      </w:r>
      <w:r>
        <w:t xml:space="preserve">(corresponding author) and</w:t>
      </w:r>
      <w:r>
        <w:t xml:space="preserve"> </w:t>
      </w:r>
      <w:r>
        <w:rPr>
          <w:bCs/>
          <w:b/>
        </w:rPr>
        <w:t xml:space="preserve">Đỗ Thùy Hương</w:t>
      </w:r>
      <w:r>
        <w:t xml:space="preserve"> </w:t>
      </w:r>
      <w:r>
        <w:t xml:space="preserve">School of Economics, Can Tho University</w:t>
      </w:r>
      <w:r>
        <w:t xml:space="preserve"> </w:t>
      </w:r>
      <w:r>
        <w:t xml:space="preserve">patu@ctu.edu.vn · thuyhuongctu@gmail.com</w:t>
      </w:r>
    </w:p>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2026-06-03T21:33:20Z</dcterms:created>
  <dcterms:modified xsi:type="dcterms:W3CDTF">2026-06-03T21:33:20Z</dcterms:modified>
</cp:coreProperties>
</file>

<file path=docProps/custom.xml><?xml version="1.0" encoding="utf-8"?>
<Properties xmlns="http://schemas.openxmlformats.org/officeDocument/2006/custom-properties" xmlns:vt="http://schemas.openxmlformats.org/officeDocument/2006/docPropsVTypes"/>
</file>