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8"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this study terms a</w:t>
      </w:r>
      <w:r>
        <w:t xml:space="preserve"> </w:t>
      </w:r>
      <w:r>
        <w:rPr>
          <w:iCs/>
          <w:i/>
        </w:rPr>
        <w:t xml:space="preserve">digital saturation paradox</w:t>
      </w:r>
      <w:r>
        <w:t xml:space="preserve">.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r>
        <w:t xml:space="preserve"> </w:t>
      </w:r>
      <w:r>
        <w:t xml:space="preserve">### 1.3 Contribution</w:t>
      </w:r>
      <w:r>
        <w:t xml:space="preserve"> </w:t>
      </w: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which combines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753100" cy="3978568"/>
            <wp:effectExtent b="0" l="0" r="0" t="0"/>
            <wp:docPr descr="Figure 1: Conceptual model —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Figure 1: Conceptual model —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 FSTS²_c), is placed at left, and the dependent variable, ln(labour productivity), is placed at right. H1 (inverted-U tendency with support-constrained turning point ~88.6% FSTS, bootstrap CI [53%, 253%]) is grounded in coordination-cost theory (Hitt et al., 1997); the right-side decline is not formally identified within the observed FSTS range, a theoretically informative result under the saturation framework (Lind–Mehlum p = .303). H1-TCI: technological capability (TCI_z,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 ≈ 84; power ≈ 16%), and provides a corroborating signal rather than independent identification. ICRV context: Singapore, Advanced I. Data: WBES 2023; N = 623.</w:t>
      </w:r>
      <w:r>
        <w:t xml:space="preserve"> </w:t>
      </w:r>
      <w:r>
        <w:t xml:space="preserve">## 3 Methods</w:t>
      </w:r>
      <w:r>
        <w:t xml:space="preserve"> </w:t>
      </w:r>
      <w:r>
        <w:t xml:space="preserve">### 3.1 Data</w:t>
      </w:r>
      <w:r>
        <w:t xml:space="preserve"> </w:t>
      </w: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 from β = +3.119 (p = .005) in the Tier-1+2 specification to a smaller and statistically weaker estimate — while the Tier-1+2 full model’s adjusted R² 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 baseline):</w:t>
      </w:r>
      <w:r>
        <w:t xml:space="preserve"> </w:t>
      </w:r>
      <w:r>
        <w:t xml:space="preserve">ln(LP)ᵢ = α + γ₁ ln(Emp)ᵢ + γ₂ FirmAgeᵢ + γ₃ ForeignOwnᵢ + δ_s + εᵢ</w:t>
      </w:r>
    </w:p>
    <w:p>
      <w:pPr>
        <w:pStyle w:val="BodyText"/>
      </w:pPr>
      <w:r>
        <w:rPr>
          <w:bCs/>
          <w:b/>
        </w:rPr>
        <w:t xml:space="preserve">M1 (Linear FSTS):</w:t>
      </w:r>
      <w:r>
        <w:t xml:space="preserve"> </w:t>
      </w:r>
      <w:r>
        <w:t xml:space="preserve">ln(LP)ᵢ = α + β₁ FSTS_cᵢ + γ·Xᵢ + δ_s + εᵢ</w:t>
      </w:r>
    </w:p>
    <w:p>
      <w:pPr>
        <w:pStyle w:val="BodyText"/>
      </w:pPr>
      <w:r>
        <w:rPr>
          <w:bCs/>
          <w:b/>
        </w:rPr>
        <w:t xml:space="preserve">M2 (Quadratic FSTS — H1 baseline curvature test):</w:t>
      </w:r>
      <w:r>
        <w:t xml:space="preserve"> </w:t>
      </w:r>
      <w:r>
        <w:t xml:space="preserve">ln(LP)ᵢ = α + β₁ FSTS_cᵢ + β₂ FSTS_c²ᵢ + γ·Xᵢ + δ_s + εᵢ</w:t>
      </w:r>
      <w:r>
        <w:t xml:space="preserve"> </w:t>
      </w:r>
      <w:r>
        <w:t xml:space="preserve">Turning point: TP* = −β₁ / (2β₂) + mean(FSTS) [H1: expected TP support-constrained; LM test p = .303]</w:t>
      </w:r>
    </w:p>
    <w:p>
      <w:pPr>
        <w:pStyle w:val="BodyText"/>
      </w:pPr>
      <w:r>
        <w:rPr>
          <w:bCs/>
          <w:b/>
        </w:rPr>
        <w:t xml:space="preserve">M3 (TCI direct — H1-TCI level effect):</w:t>
      </w:r>
      <w:r>
        <w:t xml:space="preserve"> </w:t>
      </w:r>
      <w:r>
        <w:t xml:space="preserve">ln(LP)ᵢ = α + β₁ FSTS_cᵢ + β₂ FSTS_c²ᵢ + β₃ TCI_zᵢ + γ·Xᵢ + δ_s + εᵢ</w:t>
      </w:r>
    </w:p>
    <w:p>
      <w:pPr>
        <w:pStyle w:val="BodyText"/>
      </w:pPr>
      <w:r>
        <w:rPr>
          <w:bCs/>
          <w:b/>
        </w:rPr>
        <w:t xml:space="preserve">M4 (TCI moderation — supplementary):</w:t>
      </w:r>
      <w:r>
        <w:t xml:space="preserve"> </w:t>
      </w:r>
      <w:r>
        <w:t xml:space="preserve">ln(LP)ᵢ = α + β₁ FSTS_cᵢ + β₂ FSTS_c²ᵢ + β₃ TCI_zᵢ + β₄(FSTS_cᵢ × TCI_zᵢ) + β₅(FSTS_c²ᵢ × TCI_zᵢ) + γ·Xᵢ + δ_s + εᵢ</w:t>
      </w:r>
    </w:p>
    <w:p>
      <w:pPr>
        <w:pStyle w:val="BodyText"/>
      </w:pPr>
      <w:r>
        <w:rPr>
          <w:bCs/>
          <w:b/>
        </w:rPr>
        <w:t xml:space="preserve">M5 (DAI direct — H2 test):</w:t>
      </w:r>
      <w:r>
        <w:t xml:space="preserve"> </w:t>
      </w:r>
      <w:r>
        <w:t xml:space="preserve">ln(LP)ᵢ = α + β₁ FSTS_cᵢ + β₂ FSTS_c²ᵢ + β₃ DAI_zᵢ + γ·Xᵢ + δ_s + εᵢ</w:t>
      </w:r>
    </w:p>
    <w:p>
      <w:pPr>
        <w:pStyle w:val="BodyText"/>
      </w:pPr>
      <w:r>
        <w:rPr>
          <w:bCs/>
          <w:b/>
        </w:rPr>
        <w:t xml:space="preserve">M6 (Dual direct effects):</w:t>
      </w:r>
      <w:r>
        <w:t xml:space="preserve"> </w:t>
      </w:r>
      <w:r>
        <w:t xml:space="preserve">ln(LP)ᵢ = α + β₁ FSTS_cᵢ + β₂ FSTS_c²ᵢ + β₃ TCI_zᵢ + β₄ DAI_zᵢ + γ·Xᵢ + δ_s + εᵢ</w:t>
      </w:r>
    </w:p>
    <w:p>
      <w:pPr>
        <w:pStyle w:val="BodyText"/>
      </w:pPr>
      <w:r>
        <w:rPr>
          <w:bCs/>
          <w:b/>
        </w:rPr>
        <w:t xml:space="preserve">M7 (DAI linear interaction):</w:t>
      </w:r>
      <w:r>
        <w:t xml:space="preserve"> </w:t>
      </w:r>
      <w:r>
        <w:t xml:space="preserve">ln(LP)ᵢ = α + β₁ FSTS_cᵢ + β₂ FSTS_c²ᵢ + β₃ TCI_zᵢ + β₄ DAI_zᵢ + β₅(FSTS_cᵢ × DAI_zᵢ) + γ·Xᵢ + δ_s + εᵢ</w:t>
      </w:r>
    </w:p>
    <w:p>
      <w:pPr>
        <w:pStyle w:val="BodyText"/>
      </w:pPr>
      <w:r>
        <w:rPr>
          <w:bCs/>
          <w:b/>
        </w:rPr>
        <w:t xml:space="preserve">M8 (Full moderation model — H3 primary test):</w:t>
      </w:r>
      <w:r>
        <w:t xml:space="preserve"> </w:t>
      </w:r>
      <w:r>
        <w:t xml:space="preserve">ln(LP)ᵢ = α + β₁ FSTS_cᵢ + β₂ FSTS_c²ᵢ + β₃ TCI_zᵢ + β₄ DAI_zᵢ + β₅(FSTS_cᵢ × DAI_zᵢ) + β₆(FSTS_c²ᵢ × DAI_zᵢ) + γ·Xᵢ + δ_s + εᵢ</w:t>
      </w:r>
      <w:r>
        <w:t xml:space="preserve"> </w:t>
      </w:r>
      <w:r>
        <w:t xml:space="preserve">[H3: β₆ &gt; 0 (p &lt; .01) — amplification; confirmed: β₆ =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 FSTS²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 cross-sectional variation in trade costs, export-promotion eligibility, or broadband-rollout timing is not available within the survey frame —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26"/>
    <w:bookmarkStart w:id="27"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which is consistent with the digital saturation paradox outlined in the introduction. Their measurable return surfaces only when the scaling demands of high export intensity justify intensive use of digital interfaces and transaction systems. The scale of Singapore’s innovation ecosystem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confirms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The Section 4.5 R1 specification makes this clear: when DAI is reduced to the website-only Tier-1 binary, the quadratic interaction weakens substantially (β 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2026-05-25T17:00:01Z</dcterms:created>
  <dcterms:modified xsi:type="dcterms:W3CDTF">2026-05-25T17:00:01Z</dcterms:modified>
</cp:coreProperties>
</file>

<file path=docProps/custom.xml><?xml version="1.0" encoding="utf-8"?>
<Properties xmlns="http://schemas.openxmlformats.org/officeDocument/2006/custom-properties" xmlns:vt="http://schemas.openxmlformats.org/officeDocument/2006/docPropsVTypes"/>
</file>