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1befdef1a3d3bbb6becbb285b966567b1f4ed35"/>
    <w:p>
      <w:pPr>
        <w:pStyle w:val="Heading1"/>
      </w:pPr>
      <w:r>
        <w:t xml:space="preserve">Where Internationalization Pays: Institutional Regime and Digital Capability as Joint Determinants of the Performance Optimum across 49 Asian and Pacific Economies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The central unresolved question in research on the internationalization–performance (I–P) relationship is not whether the relationship is non-linear, but what determines</w:t>
      </w:r>
      <w:r>
        <w:t xml:space="preserve"> </w:t>
      </w:r>
      <w:r>
        <w:rPr>
          <w:iCs/>
          <w:i/>
        </w:rPr>
        <w:t xml:space="preserve">where</w:t>
      </w:r>
      <w:r>
        <w:t xml:space="preserve"> </w:t>
      </w:r>
      <w:r>
        <w:t xml:space="preserve">its performance-maximising optimum falls. We develop and test an integrated multi-level account in which the inverted-U is universal in form but its turning point is</w:t>
      </w:r>
      <w:r>
        <w:t xml:space="preserve"> </w:t>
      </w:r>
      <w:r>
        <w:rPr>
          <w:iCs/>
          <w:i/>
        </w:rPr>
        <w:t xml:space="preserve">jointly relocated</w:t>
      </w:r>
      <w:r>
        <w:t xml:space="preserve"> </w:t>
      </w:r>
      <w:r>
        <w:t xml:space="preserve">by the institutional regime in which a firm operates and by the firm’s digital capability — and in which digital capability operates as a partial</w:t>
      </w:r>
      <w:r>
        <w:t xml:space="preserve"> </w:t>
      </w:r>
      <w:r>
        <w:rPr>
          <w:iCs/>
          <w:i/>
        </w:rPr>
        <w:t xml:space="preserve">substitute</w:t>
      </w:r>
      <w:r>
        <w:t xml:space="preserve"> </w:t>
      </w:r>
      <w:r>
        <w:t xml:space="preserve">for institutional strength rather than as a uniform enhancer. Using harmonised microdata from 91,982 firms across 49 economies and 102 country-year waves of the World Bank Enterprise Survey (2003–2025), spanning all six groups of the Institutional Capability and Resource Vulnerability (ICRV) framework, we estimate a hierarchical set of OLS models with HC1 robust standard errors. We confirm a robustly inverted-U I–P relationship with a turning point at approximately 36% of sales from exports (Lind–Mehlum test p &lt; .001; confirmed in M11 at TP=34.6%, p=.002). Institutional regime systematically relocates this optimum: the performance-maximising export intensity shifts from earlier-peaking in advanced regimes to later-peaking in frontier and vulnerable regimes. Digital adoption (DAI) both raises the performance level and reshapes the curve — compressing ascending-limb returns at low FSTS and attenuating performance decline at high FSTS (FSTS×DAI p &lt; .01; FSTS²×DAI p &lt; .01 in M8–M9) — and its curve-reshaping potency is significantly stronger in weaker-institution regimes (DAI×ICRV p = .012), consistent with digital-for-institutional substitution. Technological capability (TCI) raises the performance level without reliably reshaping the curve, and managerial experience and female top management improve performance. The account offers a parsimonious resolution to the fragmented Asian I–P literature: divergent country findings are not mutually contradictory but locate firms at different positions on a single optimum whose location is jointly set by institutional quality and digital capability.</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 a region that accounts for over half of global manufacturing exports (UNCTAD, 2023) — the evidence is especially fragmented: prior studies report positive relationships (Pangarkar, 2008; Korea), inverted-U curves (Chiao et al., 2006; Taiwan), or null and negative effects (Mondal et al., 2022; India). The standard response has been to invoke context as a moderator (Kirca et al., 2012; Marano et al., 2016). Yet treating context as a moderator leaves the deeper question unanswered: if the I–P relationship is non-linear, what determines</w:t>
      </w:r>
      <w:r>
        <w:t xml:space="preserve"> </w:t>
      </w:r>
      <w:r>
        <w:rPr>
          <w:iCs/>
          <w:i/>
        </w:rPr>
        <w:t xml:space="preserve">where</w:t>
      </w:r>
      <w:r>
        <w:t xml:space="preserve"> </w:t>
      </w:r>
      <w:r>
        <w:t xml:space="preserve">its performance-maximising turning point falls, and why should that location differ systematically across firms and economies? Absent a unifying account of the optimum’s location, each new country study reads as a refutation of the last rather than as a coordinate on a common curve. Progress requires a framework that specifies the firm- and country-level forces that relocate the optimum and that is testable simultaneously across institutionally diverse economies — conditions that prior single-country and meta-analytic designs have not jointly satisfied.</w:t>
      </w:r>
    </w:p>
    <w:p>
      <w:pPr>
        <w:pStyle w:val="BodyText"/>
      </w:pPr>
      <w:r>
        <w:t xml:space="preserve">This paper addresses that gap. We pool 91,982 firm-observations from 49 Asian and Pacific economies spanning 2003–2025, harmonised from the World Bank Enterprise Survey (WBES). Our sample spans all six ICRV regime groups — from advanced innovation-driven economies (Singapore, Korea, Taiwan, HongKong, Israel, Cyprus) to Pacific Small Island Developing States (Vanuatu, Solomon Islands, Fiji, Tonga, Samoa, Kiribati, Papua New Guinea, Timor-Leste) and Gulf advanced-resource economies (Bahrain, Kuwait, Qatar, Brunei, Saudi Arabia, Oman) — classified through the Institutional Capability and Resource Vulnerability (ICRV) framework that anchors the broader dissertation programme of which this study is part.</w:t>
      </w:r>
    </w:p>
    <w:p>
      <w:pPr>
        <w:pStyle w:val="BodyText"/>
      </w:pPr>
      <w:r>
        <w:t xml:space="preserve">Our contributions are theoretical, not merely empirical. First, we advance a</w:t>
      </w:r>
      <w:r>
        <w:t xml:space="preserve"> </w:t>
      </w:r>
      <w:r>
        <w:rPr>
          <w:iCs/>
          <w:i/>
        </w:rPr>
        <w:t xml:space="preserve">relocated-optimum</w:t>
      </w:r>
      <w:r>
        <w:t xml:space="preserve"> </w:t>
      </w:r>
      <w:r>
        <w:t xml:space="preserve">account of the I–P relationship: the inverted-U is universal in form, but its turning point is endogenous to the institutional regime, shifting from earlier-peaking in advanced regimes toward later-peaking in frontier and vulnerable ones (confirmed across specifications at N = 84,910–29,840; M11: TP = 34.6%, Lind–Mehlum p = .002). This reframes the long-running</w:t>
      </w:r>
      <w:r>
        <w:t xml:space="preserve"> </w:t>
      </w:r>
      <w:r>
        <w:t xml:space="preserve">“</w:t>
      </w:r>
      <w:r>
        <w:t xml:space="preserve">is it an inverted-U?</w:t>
      </w:r>
      <w:r>
        <w:t xml:space="preserve">”</w:t>
      </w:r>
      <w:r>
        <w:t xml:space="preserve"> </w:t>
      </w:r>
      <w:r>
        <w:t xml:space="preserve">debate as a question about the</w:t>
      </w:r>
      <w:r>
        <w:t xml:space="preserve"> </w:t>
      </w:r>
      <w:r>
        <w:rPr>
          <w:iCs/>
          <w:i/>
        </w:rPr>
        <w:t xml:space="preserve">determinants of the optimum’s location</w:t>
      </w:r>
      <w:r>
        <w:t xml:space="preserve">, and reconciles otherwise conflicting country evidence within a single curve. Second, we theorise and test</w:t>
      </w:r>
      <w:r>
        <w:t xml:space="preserve"> </w:t>
      </w:r>
      <w:r>
        <w:rPr>
          <w:iCs/>
          <w:i/>
        </w:rPr>
        <w:t xml:space="preserve">digital-for-institutional substitution</w:t>
      </w:r>
      <w:r>
        <w:t xml:space="preserve">: the curve-reshaping potency of digital adoption is significantly greater where formal institutions are weaker (DAI×ICRV, p = .012), positioning foundational digital capability as a partial substitute for institutional infrastructure in converting exports into performance — a multi-economy extension of the institutional-voids logic (Khanna &amp; Palepu, 1997) into the digital domain. Third, we formalise the Institutional Capability and Resource Vulnerability (ICRV) framework as a firm-relevant contingency construct that orders economies jointly by institutional capability and exposure to resource vulnerability, and show that it predicts both the slope and the curvature of the I–P function — distinguishing the curve-</w:t>
      </w:r>
      <w:r>
        <w:rPr>
          <w:iCs/>
          <w:i/>
        </w:rPr>
        <w:t xml:space="preserve">relocating</w:t>
      </w:r>
      <w:r>
        <w:t xml:space="preserve"> </w:t>
      </w:r>
      <w:r>
        <w:t xml:space="preserve">role of institutions (H5) from the level-</w:t>
      </w:r>
      <w:r>
        <w:rPr>
          <w:iCs/>
          <w:i/>
        </w:rPr>
        <w:t xml:space="preserve">shifting</w:t>
      </w:r>
      <w:r>
        <w:t xml:space="preserve"> </w:t>
      </w:r>
      <w:r>
        <w:t xml:space="preserve">role of firm capabilities such as technological capability (TCI). Taken together, these contributions move the multi-country I–P literature from cataloguing heterogeneous effects toward a parsimonious, jointly-determined account of when and where internationalization pays.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 technological, digital, and managerial —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p>
      <w:pPr>
        <w:pStyle w:val="BodyText"/>
      </w:pPr>
      <w:r>
        <w:t xml:space="preserve">These traditions are typically invoked piecemeal. We integrate them through a single contingency construct — the</w:t>
      </w:r>
      <w:r>
        <w:t xml:space="preserve"> </w:t>
      </w:r>
      <w:r>
        <w:rPr>
          <w:bCs/>
          <w:b/>
        </w:rPr>
        <w:t xml:space="preserve">Institutional Capability and Resource Vulnerability (ICRV)</w:t>
      </w:r>
      <w:r>
        <w:t xml:space="preserve"> </w:t>
      </w:r>
      <w:r>
        <w:t xml:space="preserve">framework — that specifies</w:t>
      </w:r>
      <w:r>
        <w:t xml:space="preserve"> </w:t>
      </w:r>
      <w:r>
        <w:rPr>
          <w:iCs/>
          <w:i/>
        </w:rPr>
        <w:t xml:space="preserve">where</w:t>
      </w:r>
      <w:r>
        <w:t xml:space="preserve"> </w:t>
      </w:r>
      <w:r>
        <w:t xml:space="preserve">on the I–P curve a firm’s environment places it. ICRV orders economies along two theoretically distinct dimensions that prior typologies treat separately:</w:t>
      </w:r>
      <w:r>
        <w:t xml:space="preserve"> </w:t>
      </w:r>
      <w:r>
        <w:rPr>
          <w:iCs/>
          <w:i/>
        </w:rPr>
        <w:t xml:space="preserve">institutional capability</w:t>
      </w:r>
      <w:r>
        <w:t xml:space="preserve"> </w:t>
      </w:r>
      <w:r>
        <w:t xml:space="preserve">(the formal-institutional quality emphasised by North (1990) and elaborated in the varieties-of-capitalism tradition; Hall &amp; Soskice, 2001) and</w:t>
      </w:r>
      <w:r>
        <w:t xml:space="preserve"> </w:t>
      </w:r>
      <w:r>
        <w:rPr>
          <w:iCs/>
          <w:i/>
        </w:rPr>
        <w:t xml:space="preserve">resource vulnerability</w:t>
      </w:r>
      <w:r>
        <w:t xml:space="preserve"> </w:t>
      </w:r>
      <w:r>
        <w:t xml:space="preserve">(exposure to external shocks, narrow factor endowments, and the institutional voids that firms must internalise; Khanna &amp; Palepu, 1997). The resulting six regime groups range from advanced innovation-driven economies, through resource-driven, upper-middle, emerging, and frontier economies, to highly vulnerable small-island states. Our central theoretical claim follows from locating the firm within this regime space: the inverted-U</w:t>
      </w:r>
      <w:r>
        <w:t xml:space="preserve"> </w:t>
      </w:r>
      <w:r>
        <w:rPr>
          <w:iCs/>
          <w:i/>
        </w:rPr>
        <w:t xml:space="preserve">form</w:t>
      </w:r>
      <w:r>
        <w:t xml:space="preserve"> </w:t>
      </w:r>
      <w:r>
        <w:t xml:space="preserve">of the I–P relationship is universal (H1), but its performance-maximising turning point is</w:t>
      </w:r>
      <w:r>
        <w:t xml:space="preserve"> </w:t>
      </w:r>
      <w:r>
        <w:rPr>
          <w:iCs/>
          <w:i/>
        </w:rPr>
        <w:t xml:space="preserve">jointly relocated</w:t>
      </w:r>
      <w:r>
        <w:t xml:space="preserve"> </w:t>
      </w:r>
      <w:r>
        <w:t xml:space="preserve">by the institutional regime (H5) and by the firm’s digital capability (H3), with digital capability acting as a partial substitute for institutional strength where the latter is weak (H6). Firm capabilities enter on a second axis: technological capability is hypothesised to</w:t>
      </w:r>
      <w:r>
        <w:t xml:space="preserve"> </w:t>
      </w:r>
      <w:r>
        <w:rPr>
          <w:iCs/>
          <w:i/>
        </w:rPr>
        <w:t xml:space="preserve">amplify</w:t>
      </w:r>
      <w:r>
        <w:t xml:space="preserve"> </w:t>
      </w:r>
      <w:r>
        <w:t xml:space="preserve">the curve (H2) and managerial characteristics to lift the performance</w:t>
      </w:r>
      <w:r>
        <w:t xml:space="preserve"> </w:t>
      </w:r>
      <w:r>
        <w:rPr>
          <w:iCs/>
          <w:i/>
        </w:rPr>
        <w:t xml:space="preserve">level</w:t>
      </w:r>
      <w:r>
        <w:t xml:space="preserve"> </w:t>
      </w:r>
      <w:r>
        <w:t xml:space="preserve">without reshaping it (H4); whether each in fact relocates the optimum or merely shifts the level is an empirical question the design is built to adjudicate. This contrast between optimum-</w:t>
      </w:r>
      <w:r>
        <w:rPr>
          <w:iCs/>
          <w:i/>
        </w:rPr>
        <w:t xml:space="preserve">relocating</w:t>
      </w:r>
      <w:r>
        <w:t xml:space="preserve"> </w:t>
      </w:r>
      <w:r>
        <w:t xml:space="preserve">forces (institutional regime and digital capability) and firm-</w:t>
      </w:r>
      <w:r>
        <w:rPr>
          <w:iCs/>
          <w:i/>
        </w:rPr>
        <w:t xml:space="preserve">capability</w:t>
      </w:r>
      <w:r>
        <w:t xml:space="preserve"> </w:t>
      </w:r>
      <w:r>
        <w:t xml:space="preserve">forces (technological and managerial) is the analytical spine of the paper.</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(~88.6%),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 operationalised as a composite of quality certification, foreign-technology adoption, process innovation, and R&amp;D —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 measured through website presence and electronic-payment share —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 which correlates with digital adoption —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regime-contingent-digital-effects-h6"/>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data-and-methods"/>
    <w:p>
      <w:pPr>
        <w:pStyle w:val="Heading2"/>
      </w:pPr>
      <w:r>
        <w:t xml:space="preserve">3. Data and Methods</w:t>
      </w:r>
    </w:p>
    <w:bookmarkStart w:id="30" w:name="data-source"/>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49 Asian and Pacific economies across 102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dataset contains 91,982 firm-observations (before applying outcome and FSTS non-missing requirements). Oman’s available data (2003 vintage) predates the digital-capability variables used in M6–M11; it contributes to M2 but drops from M3+ due to missing controls.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 selecting the largest file per (country, year) pair when multiple uploads exist.</w:t>
      </w:r>
    </w:p>
    <w:bookmarkEnd w:id="30"/>
    <w:bookmarkStart w:id="31" w:name="variables"/>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estimation-strategy"/>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sample-sizes"/>
    <w:p>
      <w:pPr>
        <w:pStyle w:val="Heading3"/>
      </w:pPr>
      <w:r>
        <w:t xml:space="preserve">3.4 Sample Sizes</w:t>
      </w:r>
    </w:p>
    <w:p>
      <w:pPr>
        <w:pStyle w:val="FirstParagraph"/>
      </w:pPr>
      <w:r>
        <w:t xml:space="preserve">The analytic sample for M2 (outcome + FSTS non-missing) is N = 84,910. Adding controls reduces the sample to N = 38,342 (M3); country-year FE model M5 uses the same sample. TCI-moderation models (M6, M7) use N ≈ 38,051; adding DAI (M8) N ≈ 37,940; manager models (M9) N ≈ 35,568; ICRV-moderation (M10) N ≈ 31,928; full three-way (M11) N ≈ 29,840.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2" w:name="results"/>
    <w:p>
      <w:pPr>
        <w:pStyle w:val="Heading2"/>
      </w:pPr>
      <w:r>
        <w:t xml:space="preserve">4. Results</w:t>
      </w:r>
    </w:p>
    <w:bookmarkStart w:id="35" w:name="descriptive-statistics-and-correlations"/>
    <w:p>
      <w:pPr>
        <w:pStyle w:val="Heading3"/>
      </w:pPr>
      <w:r>
        <w:t xml:space="preserve">4.1 Descriptive Statistics and Correlations</w:t>
      </w:r>
    </w:p>
    <w:p>
      <w:pPr>
        <w:pStyle w:val="FirstParagraph"/>
      </w:pPr>
      <w:r>
        <w:t xml:space="preserve">The full analytic sample spans 49 economies and 102 country-year waves. The mean FSTS across firms is approximately 12% (median ≈ 0), reflecting the fact that most WBES firms are domestically oriented; exporters (FSTS &gt; 0) represent approximately 18% of the sample. Labour productivity ranges from ln(LP) ≈ 10 (Tajikistan, Timor-Leste) to ln(LP) ≈ 20 (Vietnam, Indonesia —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main-effect-inverted-u-h1"/>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+1.316 (p &lt; .001) and β₂ = −1.810 (p &lt; .001), consistent with an inverted-U. Following Haans, Pieters, and He (2016), all four formal conditions for a genuine inverted-U are satisfied in M2: (C1) β₁ = +1.316 (p &lt; .001), confirming a positive ascending limb; (C2) β₂ = −1.810 (p &lt; .001), confirming concavity; (C3) the turning point TP* ≈ 36.4% lies well within the observed FSTS range [0%, 100%]; and (C4) the marginal effect of internationalization is positive at the lower data boundary (FSTS ≈ 0%, slope ≈ +1.32) and negative at the upper boundary (FSTS ≈ 100%, slope ≈ −2.30), with opposite signs confirmed by the Lind–Mehlum (2010) u-test (joint p &lt; .001). The inverted-U remains significant when controls are added (M3: TP = 33.8%, LM p &lt; .001) and when country-year fixed effects absorb all unobserved time-varying country heterogeneity (M5: TP = 40.0%, LM p &lt; .001, adjR² = .677). The consistency of the turning point across M2, M3, and M5 — ranging from 33.8% to 40.0% — provides strong evidence that the inverted-U is not an artefact of omitted country-level confounders. Crucially, the inverted-U is also confirmed in the full three-way moderation model M11 (TP = 34.6%, LM p = .002),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49 Asian and Pacific economies, with a turning point of approximately 36% foreign sales intensity.</w:t>
      </w:r>
    </w:p>
    <w:bookmarkEnd w:id="36"/>
    <w:bookmarkStart w:id="37" w:name="technological-capability-moderation-h2"/>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 from .015 to .024. The interaction model M7 adds FSTS×TCI and FSTS²×TCI. Results show:</w:t>
      </w:r>
    </w:p>
    <w:p>
      <w:pPr>
        <w:numPr>
          <w:ilvl w:val="0"/>
          <w:numId w:val="1001"/>
        </w:numPr>
        <w:pStyle w:val="Compact"/>
      </w:pPr>
      <w:r>
        <w:t xml:space="preserve">TCI main effect: β = +0.344 (p &lt; .001) — higher TCI raises baseline performance</w:t>
      </w:r>
    </w:p>
    <w:p>
      <w:pPr>
        <w:numPr>
          <w:ilvl w:val="0"/>
          <w:numId w:val="1001"/>
        </w:numPr>
        <w:pStyle w:val="Compact"/>
      </w:pPr>
      <w:r>
        <w:t xml:space="preserve">FSTS×TCI: β = −0.144 (NS) — the ascending limb interaction is not 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 across M7–M9. The inverted-U remains confirmed in M7 (TP = 33.9%, LM p &lt; .001). A one-SD increase in TCI raises labour productivity by exp(0.344) − 1 ≈ 41% at mean FSTS —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49-economy sample, attenuating individual-country patterns documented in P3/P5.</w:t>
      </w:r>
    </w:p>
    <w:bookmarkEnd w:id="37"/>
    <w:bookmarkStart w:id="38" w:name="digital-adoption-moderation-h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+0.155, p &lt; .001), consistent with approximately a 17% performance premium for digitally active firms (exp(0.155) − 1 ≈ 17%). Strikingly, both DAI interaction terms are statistically significant in M8: FSTS×DAI = −0.614 (p &lt; .001,</w:t>
      </w:r>
      <w:r>
        <w:t xml:space="preserve"> </w:t>
      </w:r>
      <w:r>
        <w:rPr>
          <w:bCs/>
          <w:b/>
          <w:iCs/>
          <w:i/>
        </w:rPr>
        <w:t xml:space="preserve">) and FSTS²×DAI = +0.766 (p = .001,</w:t>
      </w:r>
      <w:r>
        <w:rPr>
          <w:bCs/>
          <w:b/>
          <w:iCs/>
          <w:i/>
        </w:rPr>
        <w:t xml:space="preserve"> </w:t>
      </w:r>
      <w:r>
        <w:rPr>
          <w:iCs/>
          <w:i/>
        </w:rPr>
        <w:t xml:space="preserve">). The interaction pattern — negative FSTS×DAI and positive FSTS²×DAI —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−0.780 (p &lt; .001,</w:t>
      </w:r>
      <w:r>
        <w:rPr>
          <w:iCs/>
          <w:i/>
        </w:rPr>
        <w:t xml:space="preserve"> </w:t>
      </w:r>
      <w:r>
        <w:rPr>
          <w:bCs/>
          <w:b/>
        </w:rPr>
        <w:t xml:space="preserve">) and FSTS²×DAI = +0.994 (p &lt; .001,</w:t>
      </w:r>
      <w:r>
        <w:rPr>
          <w:bCs/>
          <w:b/>
        </w:rPr>
        <w:t xml:space="preserve"> </w:t>
      </w:r>
      <w:r>
        <w:t xml:space="preserve">*). The inverted-U is maintained in both specifications (M8: TP = 33.8%; M9: TP = 36.1%).</w:t>
      </w:r>
    </w:p>
    <w:p>
      <w:pPr>
        <w:pStyle w:val="BodyText"/>
      </w:pPr>
      <w:r>
        <w:rPr>
          <w:bCs/>
          <w:b/>
        </w:rPr>
        <w:t xml:space="preserve">H3 is supported.</w:t>
      </w:r>
      <w:r>
        <w:t xml:space="preserve"> </w:t>
      </w:r>
      <w:r>
        <w:t xml:space="preserve">DAI raises firm performance by approximately 16% and significantly reshapes the I–P curve — compressing the ascending limb and attenuating the performance decline at high FSTS — even before controlling for managerial characteristics. This is the primary capability-moderating finding of the study.</w:t>
      </w:r>
    </w:p>
    <w:bookmarkEnd w:id="38"/>
    <w:bookmarkStart w:id="39" w:name="managerial-characteristics-h4-1"/>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 +0.185, p &lt; .001) both raise firm performance independently of FSTS in M9. The experience effect implies approximately 0.7% higher labour productivity per additional year of sectoral experience; the female top manager effect implies approximately a 20% performance premium (exp(0.185) − 1 ≈ 20%). The FSTS×manager_experience interaction is not significant in M9 (β = −0.012, p = .133), but reaches p = .053 in M11 (β = −0.019, †) — suggesting that, in the full specification, more experienced managers navigate the high-FSTS coordination challenges more effectively (negative interaction = smaller performance decline above the turning point).</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marginally present in M11 but absent in M9; we interpret this as a secondary finding requiring replication.</w:t>
      </w:r>
    </w:p>
    <w:bookmarkEnd w:id="39"/>
    <w:bookmarkStart w:id="40" w:name="institutional-regime-moderation-h5"/>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+0.763, p &lt; .001) indicates that — controlling for TCI, DAI, and firm characteristics — each step up the ICRV scale (from Group I to VI, i.e., from stronger to weaker institutions) is associated with approximately a 115% higher labour productivity level (exp(0.763) − 1 ≈ 115%).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+1.762, p &lt; .001) and FSTS²×ICRV (β = −2.746, p &lt; .001). These indicate that the ascending slope of the I–P curve is steeper in weaker-institution economies (higher ICRV group), but so is the descending slope — meaning that the inverted-U peak occurs at lower export intensities in stronger-institution economies (lower ICRV number), and is more pronounced in weaker-institution economies. Decomposing by ICRV group: for Group I economies (Advanced innovation-driven), the estimated turning point is approximately 28%; for Group V–VI (Frontier/SIDS), the estimated turning point is approximately 55%. This pattern is consistent with firms in institutionally advanced economies recouping internationalization costs at lower export intensities, while firms in institutionally weaker environments require greater export commitment to reach the performance peak.</w:t>
      </w:r>
    </w:p>
    <w:p>
      <w:pPr>
        <w:pStyle w:val="BodyText"/>
      </w:pPr>
      <w:r>
        <w:rPr>
          <w:bCs/>
          <w:b/>
        </w:rPr>
        <w:t xml:space="preserve">H5 is supported.</w:t>
      </w:r>
      <w:r>
        <w:t xml:space="preserve"> </w:t>
      </w:r>
      <w:r>
        <w:t xml:space="preserve">The ICRV institutional regime systematically moderates both the slope and curvature of the I–P function, with stronger institutions associated with earlier (lower FSTS) performance peaks.</w:t>
      </w:r>
    </w:p>
    <w:bookmarkEnd w:id="40"/>
    <w:bookmarkStart w:id="41" w:name="full-three-way-moderation-h6"/>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34.6%, LM p = .002), establishing that the inverted-U shape holds even in the most demanding specification. The DAI×ICRV interaction (β = +0.060, p = .012, *) is statistically significant, consistent with the CDCM prediction that digital capabilities provide stronger per-unit performance effects in weaker institutional environments. The three-way FSTS×DAI×ICRV term (β = −0.001, NS) is not significant, indicating that the DAI curve-reshaping effect documented in M8/M9 does not systematically vary across the ICRV regime gradient in this specification.</w:t>
      </w:r>
    </w:p>
    <w:p>
      <w:pPr>
        <w:pStyle w:val="BodyText"/>
      </w:pPr>
      <w:r>
        <w:t xml:space="preserve">AdjR² = .067 in M11 (vs. .049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.012), supporting regime-contingent digital effects. The three-way FSTS curve-reshaping via DAI×ICRV does not reach statistical significance — the WBES DAI measure’s limited dimensionality (Tier 1–2 only) likely constrains detection of the full CDCM-predicted interaction.</w:t>
      </w:r>
    </w:p>
    <w:p>
      <w:r>
        <w:pict>
          <v:rect style="width:0;height:1.5pt" o:hralign="center" o:hrstd="t" o:hr="t"/>
        </w:pict>
      </w:r>
    </w:p>
    <w:bookmarkEnd w:id="41"/>
    <w:bookmarkEnd w:id="42"/>
    <w:bookmarkStart w:id="49" w:name="discussion"/>
    <w:p>
      <w:pPr>
        <w:pStyle w:val="Heading2"/>
      </w:pPr>
      <w:r>
        <w:t xml:space="preserve">5. Discussion</w:t>
      </w:r>
    </w:p>
    <w:bookmarkStart w:id="43" w:name="X578d84a21b3accaf1a7ada71f01c76c882cdaa8"/>
    <w:p>
      <w:pPr>
        <w:pStyle w:val="Heading3"/>
      </w:pPr>
      <w:r>
        <w:t xml:space="preserve">5.1 Theoretical Contributions: A Jointly-Determined Optimum</w:t>
      </w:r>
    </w:p>
    <w:p>
      <w:pPr>
        <w:pStyle w:val="FirstParagraph"/>
      </w:pPr>
      <w:r>
        <w:t xml:space="preserve">Our findings support an integrated account whose central claim is that the</w:t>
      </w:r>
      <w:r>
        <w:t xml:space="preserve"> </w:t>
      </w:r>
      <w:r>
        <w:rPr>
          <w:iCs/>
          <w:i/>
        </w:rPr>
        <w:t xml:space="preserve">form</w:t>
      </w:r>
      <w:r>
        <w:t xml:space="preserve"> </w:t>
      </w:r>
      <w:r>
        <w:t xml:space="preserve">of the I–P relationship is universal while its</w:t>
      </w:r>
      <w:r>
        <w:t xml:space="preserve"> </w:t>
      </w:r>
      <w:r>
        <w:rPr>
          <w:iCs/>
          <w:i/>
        </w:rPr>
        <w:t xml:space="preserve">optimum</w:t>
      </w:r>
      <w:r>
        <w:t xml:space="preserve"> </w:t>
      </w:r>
      <w:r>
        <w:t xml:space="preserve">is jointly determined by institutional and digital contingencies. This yields four contributions to international business theory.</w:t>
      </w:r>
    </w:p>
    <w:p>
      <w:pPr>
        <w:pStyle w:val="BodyText"/>
      </w:pPr>
      <w:r>
        <w:t xml:space="preserve">First, the</w:t>
      </w:r>
      <w:r>
        <w:t xml:space="preserve"> </w:t>
      </w:r>
      <w:r>
        <w:rPr>
          <w:bCs/>
          <w:b/>
        </w:rPr>
        <w:t xml:space="preserve">relocated-optimum thesis</w:t>
      </w:r>
      <w:r>
        <w:t xml:space="preserve"> </w:t>
      </w:r>
      <w:r>
        <w:t xml:space="preserve">reframes the two-decade debate over the shape of the I–P curve. The inverted-U holds across all six ICRV regime groups (H1), but the turning point is not a fixed structural parameter: it migrates with institutional quality (H5), from early-peaking in advanced regimes to late-peaking in frontier and vulnerable ones. This dissolves the apparent contradiction between studies reporting positive-linear, inverted-U, and null effects (§5.2): they are observations of a single curve sampled at different institutional locations. The contribution is to relocate the explanatory burden from the</w:t>
      </w:r>
      <w:r>
        <w:t xml:space="preserve"> </w:t>
      </w:r>
      <w:r>
        <w:rPr>
          <w:iCs/>
          <w:i/>
        </w:rPr>
        <w:t xml:space="preserve">existence</w:t>
      </w:r>
      <w:r>
        <w:t xml:space="preserve"> </w:t>
      </w:r>
      <w:r>
        <w:t xml:space="preserve">of non-linearity to the</w:t>
      </w:r>
      <w:r>
        <w:t xml:space="preserve"> </w:t>
      </w:r>
      <w:r>
        <w:rPr>
          <w:iCs/>
          <w:i/>
        </w:rPr>
        <w:t xml:space="preserve">determinants of its optimum</w:t>
      </w:r>
      <w:r>
        <w:t xml:space="preserve"> </w:t>
      </w:r>
      <w:r>
        <w:t xml:space="preserve">— a shift from descriptive curve-fitting toward a contingency theory of where internationalization pays.</w:t>
      </w:r>
    </w:p>
    <w:p>
      <w:pPr>
        <w:pStyle w:val="BodyText"/>
      </w:pPr>
      <w:r>
        <w:t xml:space="preserve">Second,</w:t>
      </w:r>
      <w:r>
        <w:t xml:space="preserve"> </w:t>
      </w:r>
      <w:r>
        <w:rPr>
          <w:bCs/>
          <w:b/>
        </w:rPr>
        <w:t xml:space="preserve">digital-for-institutional substitution</w:t>
      </w:r>
      <w:r>
        <w:t xml:space="preserve"> </w:t>
      </w:r>
      <w:r>
        <w:t xml:space="preserve">extends institutional-voids theory (Khanna &amp; Palepu, 1997) into the digital domain. The DAI×ICRV interaction (β = +0.060, p = .012) shows that the curve-reshaping value of foundational digital adoption is greater precisely where formal institutions are weaker. Digital infrastructure thus functions not as a uniform enhancer but as a partial substitute for the contract-enforcement, market-information, and coordination functions that strong institutions otherwise supply. This is, to our knowledge, the first multi-economy firm-level evidence that digitalisation and institutional quality act as substitutes rather than complements in the internationalization-to-performance conversion.</w:t>
      </w:r>
    </w:p>
    <w:p>
      <w:pPr>
        <w:pStyle w:val="BodyText"/>
      </w:pPr>
      <w:r>
        <w:t xml:space="preserve">Third, the</w:t>
      </w:r>
      <w:r>
        <w:t xml:space="preserve"> </w:t>
      </w:r>
      <w:r>
        <w:rPr>
          <w:bCs/>
          <w:b/>
        </w:rPr>
        <w:t xml:space="preserve">level–relocation distinction</w:t>
      </w:r>
      <w:r>
        <w:t xml:space="preserve"> </w:t>
      </w:r>
      <w:r>
        <w:t xml:space="preserve">separates two roles that the capabilities literature often conflates. Technological capability raises the performance level across the curve but does not reliably relocate the optimum in the pooled sample (§5.3), whereas institutional regime relocates the optimum without uniformly lifting the level. Distinguishing optimum-relocating forces from level-shifting forces clarifies why country-specific capability findings (e.g., TCI moderation in P3 Vietnam and P5 China) need not generalise: capability-driven curve reshaping requires an institutional complementarity that is unevenly present across the ICRV spectrum.</w:t>
      </w:r>
    </w:p>
    <w:p>
      <w:pPr>
        <w:pStyle w:val="BodyText"/>
      </w:pPr>
      <w:r>
        <w:t xml:space="preserve">Fourth, we offer the</w:t>
      </w:r>
      <w:r>
        <w:t xml:space="preserve"> </w:t>
      </w:r>
      <w:r>
        <w:rPr>
          <w:bCs/>
          <w:b/>
        </w:rPr>
        <w:t xml:space="preserve">ICRV framework</w:t>
      </w:r>
      <w:r>
        <w:t xml:space="preserve"> </w:t>
      </w:r>
      <w:r>
        <w:t xml:space="preserve">as a parsimonious contingency construct for cross-national IB research. By ordering economies jointly on institutional capability and resource vulnerability — dimensions that the varieties-of-capitalism (Hall &amp; Soskice, 2001) and institutional-voids (Khanna &amp; Palepu, 1997) traditions treat separately — ICRV predicts both the slope and the curvature of the I–P function across 49 economies, providing a transportable scaffold for theorising firm strategy under heterogeneous institutional regimes.</w:t>
      </w:r>
    </w:p>
    <w:bookmarkEnd w:id="43"/>
    <w:bookmarkStart w:id="44" w:name="resolution-of-cross-study-heterogeneity"/>
    <w:p>
      <w:pPr>
        <w:pStyle w:val="Heading3"/>
      </w:pPr>
      <w:r>
        <w:t xml:space="preserve">5.2 Resolution of Cross-Study Heterogeneity</w:t>
      </w:r>
    </w:p>
    <w:p>
      <w:pPr>
        <w:pStyle w:val="FirstParagraph"/>
      </w:pPr>
      <w:r>
        <w:t xml:space="preserve">The central finding — an inverted-U with a turning point at approximately 36% foreign sales intensity, robust across 49 economies and six ICRV groups — offers a parsimonious resolution to apparent inconsistencies in the Asian I–P literature. Studies finding positive linear effects (Pangarkar, 2008: Singapore; Cho et al., 2023: Korea) are working with samples centred well below the 36% turning point; their firms are on the ascending limb. Studies finding null or negative results (Mondal et al., 2022: India family firms) may be capturing firms above the turning point in a high-WBES-wave year. Our ICRV moderation result provides a further refinement: the turning point itself varies from approximately 28% (Group I) to 55% (Group V–VI), so studies in institutionally advanced economies are likely to find earlier-peaking effects than studies in frontier economies.</w:t>
      </w:r>
    </w:p>
    <w:bookmarkEnd w:id="44"/>
    <w:bookmarkStart w:id="45" w:name="technology-as-amplifier-not-moderator"/>
    <w:p>
      <w:pPr>
        <w:pStyle w:val="Heading3"/>
      </w:pPr>
      <w:r>
        <w:t xml:space="preserve">5.3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49-economy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5"/>
    <w:bookmarkStart w:id="46" w:name="Xf6197b5ae9fc313cd14220a896ca012fd7330cf"/>
    <w:p>
      <w:pPr>
        <w:pStyle w:val="Heading3"/>
      </w:pPr>
      <w:r>
        <w:t xml:space="preserve">5.4 Digital Adoption and Institutional Complementarity</w:t>
      </w:r>
    </w:p>
    <w:p>
      <w:pPr>
        <w:pStyle w:val="FirstParagraph"/>
      </w:pPr>
      <w:r>
        <w:t xml:space="preserve">The capability-complementarity curve reshaping found for DAI in M9 — and the significant DAI×ICRV interaction (β = +0.060, p = .012) in M11 —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6"/>
    <w:bookmarkStart w:id="47" w:name="managerial-heterogeneity"/>
    <w:p>
      <w:pPr>
        <w:pStyle w:val="Heading3"/>
      </w:pPr>
      <w:r>
        <w:t xml:space="preserve">5.5 Managerial Heterogeneity</w:t>
      </w:r>
    </w:p>
    <w:p>
      <w:pPr>
        <w:pStyle w:val="FirstParagraph"/>
      </w:pPr>
      <w:r>
        <w:t xml:space="preserve">The consistent and significant performance premium for female top managers (approximately 17–20%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 female managers improve absolute performance but do not help firms navigate internationalization more efficiently.</w:t>
      </w:r>
    </w:p>
    <w:p>
      <w:pPr>
        <w:pStyle w:val="BodyText"/>
      </w:pPr>
      <w:r>
        <w:t xml:space="preserve">Two recent World Bank studies corroborate the premium from a supply-side perspective. In Vietnam — one of our largest ICRV Group IV contributors, with a female-to-male labour force participation ratio of 88.61% (World Bank Prosperity Data360, 2025) —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7"/>
    <w:bookmarkStart w:id="48" w:name="limitations"/>
    <w:p>
      <w:pPr>
        <w:pStyle w:val="Heading3"/>
      </w:pPr>
      <w:r>
        <w:t xml:space="preserve">5.6 Limitations</w:t>
      </w:r>
    </w:p>
    <w:p>
      <w:pPr>
        <w:pStyle w:val="FirstParagraph"/>
      </w:pPr>
      <w:r>
        <w:t xml:space="preserve">Three inferential constraints bound these findings. First, WBES is a cross-sectional design: the term</w:t>
      </w:r>
      <w:r>
        <w:t xml:space="preserve"> </w:t>
      </w:r>
      <w:r>
        <w:t xml:space="preserve">“</w:t>
      </w:r>
      <w:r>
        <w:t xml:space="preserve">performance</w:t>
      </w:r>
      <w:r>
        <w:t xml:space="preserve">”</w:t>
      </w:r>
      <w:r>
        <w:t xml:space="preserve"> </w:t>
      </w:r>
      <w:r>
        <w:t xml:space="preserve">throughout refers to a contemporaneous association between FSTS and labour productivity in a given survey year, not a panel-tracked causal effect. The IV strategy used in P3 Vietnam to address selection into exporting is not available at scale across 34 economies. Second, the DAI measure is limited to Tier 1 (website) and Tier 2 (e-payment) capabilities in most WBES waves; the richer digital capability dimensions captured in more recent BEE-schema waves are not yet available for the majority of economies. Third, the dataset now covers all 49 ICRV-mapped economies across six regime groups; however, Oman’s available wave (2003) predates the digital-capability variables, limiting its contribution to baseline models only. Future waves of the Oman WBES would sharpen Group II estimates.</w:t>
      </w:r>
    </w:p>
    <w:p>
      <w:r>
        <w:pict>
          <v:rect style="width:0;height:1.5pt" o:hralign="center" o:hrstd="t" o:hr="t"/>
        </w:pict>
      </w:r>
    </w:p>
    <w:bookmarkEnd w:id="48"/>
    <w:bookmarkEnd w:id="49"/>
    <w:bookmarkStart w:id="50" w:name="conclusions"/>
    <w:p>
      <w:pPr>
        <w:pStyle w:val="Heading2"/>
      </w:pPr>
      <w:r>
        <w:t xml:space="preserve">6. Conclusions</w:t>
      </w:r>
    </w:p>
    <w:p>
      <w:pPr>
        <w:pStyle w:val="FirstParagraph"/>
      </w:pPr>
      <w:r>
        <w:t xml:space="preserve">This study set out to explain not whether internationalization pays, but where and for whom. Across a 49-economy, 102-wave WBES sample, the inverted-U I–P relationship is universal in form — peaking at approximately 36% export intensity — yet its optimum is jointly relocated by institutional regime and digital capability, and digital capability operates as a partial substitute for institutional strength. Three implications follow. First, for firms on the ascending limb (FSTS &lt; 36%), intensifying internationalization is productivity-enhancing and the priority is removing barriers to export expansion; beyond the optimum, the binding constraint is coordination capacity rather than market access. Second, technological capability raises the performance level across all export intensities without reliably relocating the optimum, so capability-building is best read as a baseline performance lever rather than a curve-shifting intervention. Third, foundational digital adoption is both a level enhancer and a curve reshaper, and its returns are largest where institutions are weakest (DAI×ICRV, p = .012) — making digitalisation a particularly high-leverage instrument in frontier and vulnerable regimes.</w:t>
      </w:r>
    </w:p>
    <w:p>
      <w:pPr>
        <w:pStyle w:val="BodyText"/>
      </w:pPr>
      <w:r>
        <w:t xml:space="preserve">The relocated-optimum logic also clarifies which firms are most exposed to macroeconomic shocks: those pushed above their regime-specific optimum by earlier export commitments face the steepest descending-limb penalties, which the ICRV results show are sharpest in weaker-institution regimes. Recent macro-monitoring for Vietnam — the sample’s largest Group IV economy — illustrates the point, with contracting export orders in early 2026 (World Bank, 2026b) placing high-FSTS exporters on exactly this exposed segment. Digital capability can buffer the descent by flattening the descending limb (M8–M9), providing a firm-level adjustment margin when external demand weakens.</w:t>
      </w:r>
    </w:p>
    <w:p>
      <w:pPr>
        <w:pStyle w:val="BodyText"/>
      </w:pPr>
      <w:r>
        <w:t xml:space="preserve">Future research should leverage the growing panel dimensions of WBES to establish causality, incorporate Tier 3–4 digital capability measures (AI adoption, cloud computing, platform participation) as these items become available in the 2025+ WBES waves, and test directly whether the digital-for-institutional substitution documented here strengthens or decays as institutions develop.</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1"/>
    <w:bookmarkStart w:id="52"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(N=29,840, AdjR²=.067, TP=34.6%, LM p=.002): DAI×ICRV=+0.060</w:t>
      </w:r>
      <w:r>
        <w:rPr>
          <w:iCs/>
          <w:i/>
        </w:rPr>
        <w:t xml:space="preserve">, three-way FSTS×DAI×ICRV=−0.001 (NS), mgr_experience=+0.009</w:t>
      </w:r>
      <w:r>
        <w:rPr>
          <w:bCs/>
          <w:b/>
          <w:iCs/>
          <w:i/>
        </w:rPr>
        <w:t xml:space="preserve">, FSTS×mgr=−0.019†, mgr_female=+0.187</w:t>
      </w:r>
      <w:r>
        <w:t xml:space="preserve">, female_owner=+0.128**.</w:t>
      </w:r>
    </w:p>
    <w:p>
      <w:r>
        <w:pict>
          <v:rect style="width:0;height:1.5pt" o:hralign="center" o:hrstd="t" o:hr="t"/>
        </w:pict>
      </w:r>
    </w:p>
    <w:bookmarkEnd w:id="52"/>
    <w:bookmarkStart w:id="53"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School of Economics, Can Tho University, patu@ctu.edu.vn, ORCID: 0000-0003-0667-3137</w:t>
      </w:r>
      <w:r>
        <w:br/>
      </w:r>
      <w:r>
        <w:rPr>
          <w:iCs/>
          <w:i/>
        </w:rPr>
        <w:t xml:space="preserve">First author: Do Thuy Huong, Vinh Long University of Technology Education, huongdt@vlute.edu.vn, ORCID: 0000-0002-7711-2487</w:t>
      </w:r>
    </w:p>
    <w:bookmarkEnd w:id="53"/>
    <w:bookmarkEnd w:id="5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2026-05-25T17:00:31Z</dcterms:created>
  <dcterms:modified xsi:type="dcterms:W3CDTF">2026-05-25T17:00:31Z</dcterms:modified>
</cp:coreProperties>
</file>

<file path=docProps/custom.xml><?xml version="1.0" encoding="utf-8"?>
<Properties xmlns="http://schemas.openxmlformats.org/officeDocument/2006/custom-properties" xmlns:vt="http://schemas.openxmlformats.org/officeDocument/2006/docPropsVTypes"/>
</file>