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w:t>
      </w:r>
      <w:r>
        <w:t xml:space="preserve"> </w:t>
      </w:r>
      <m:oMath>
        <m:sSup>
          <m:e>
            <m:r>
              <m:rPr>
                <m:nor/>
                <m:sty m:val="p"/>
              </m:rPr>
              <m:t>FSTS</m:t>
            </m:r>
          </m:e>
          <m:sup>
            <m:r>
              <m:t>2</m:t>
            </m:r>
          </m:sup>
        </m:sSup>
      </m:oMath>
      <w:r>
        <w:t xml:space="preserve">×TCI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 = 0,012)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các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các nghiên cứu, vấn đề chủ yếu là</w:t>
      </w:r>
      <w:r>
        <w:t xml:space="preserve"> </w:t>
      </w:r>
      <w:r>
        <w:rPr>
          <w:bCs/>
          <w:b/>
        </w:rPr>
        <w:t xml:space="preserve">đo lường bên trong nghiên cứu</w:t>
      </w:r>
      <w:r>
        <w:t xml:space="preserve">, không phải sự bất đồng căn bản giữa các nghiên cứu.</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w:t>
      </w:r>
      <w:r>
        <w:t xml:space="preserve"> </w:t>
      </w:r>
      <m:oMath>
        <m:r>
          <m:rPr>
            <m:sty m:val="p"/>
          </m:rPr>
          <m:t>≈</m:t>
        </m:r>
      </m:oMath>
      <w:r>
        <w:t xml:space="preserve"> </w:t>
      </w:r>
      <w:r>
        <w:t xml:space="preserve">88,6% (Singapore, Advanced Innovation) đến TP</w:t>
      </w:r>
      <w:r>
        <w:t xml:space="preserve"> </w:t>
      </w:r>
      <m:oMath>
        <m:r>
          <m:rPr>
            <m:sty m:val="p"/>
          </m:rPr>
          <m:t>≈</m:t>
        </m:r>
      </m:oMath>
      <w:r>
        <w:t xml:space="preserve"> </w:t>
      </w:r>
      <w:r>
        <w:t xml:space="preserve">39,7% (Việt Nam pooled, Lower-mid Transition), với Trung Quốc ở mức trung gian (TP</w:t>
      </w:r>
      <w:r>
        <w:t xml:space="preserve"> </w:t>
      </w:r>
      <m:oMath>
        <m:r>
          <m:rPr>
            <m:sty m:val="p"/>
          </m:rPr>
          <m:t>≈</m:t>
        </m:r>
      </m:oMath>
      <w:r>
        <w:t xml:space="preserve"> </w:t>
      </w:r>
      <w:r>
        <w:t xml:space="preserve">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các nghiên cứu của Lu và Beamish.</w:t>
      </w:r>
    </w:p>
    <w:bookmarkEnd w:id="29"/>
    <w:bookmarkStart w:id="30"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các nghiên cứu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 Việt Nam với Frontier Bangladesh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 = +0,155, p &lt; 0,001, mẫu gộp N=84.910 từ 49 nền kinh tế) nhưng vai trò điều tiết đường cong I-P là</w:t>
      </w:r>
      <w:r>
        <w:t xml:space="preserve"> </w:t>
      </w:r>
      <w:r>
        <w:rPr>
          <w:bCs/>
          <w:b/>
        </w:rPr>
        <w:t xml:space="preserve">bối cảnh-phụ thuộc</w:t>
      </w:r>
      <w:r>
        <w:t xml:space="preserve"> </w:t>
      </w:r>
      <w:r>
        <w:t xml:space="preserve">(DAI×ICRV: p = 0,012)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 = 0,012) cho thấy hiệu ứng điều tiết của DAI</w:t>
      </w:r>
      <w:r>
        <w:t xml:space="preserve"> </w:t>
      </w:r>
      <w:r>
        <w:rPr>
          <w:bCs/>
          <w:b/>
        </w:rPr>
        <w:t xml:space="preserve">mạnh hơn</w:t>
      </w:r>
      <w:r>
        <w:t xml:space="preserve"> </w:t>
      </w:r>
      <w:r>
        <w:t xml:space="preserve">tại các nền kinh tế thể chế yếu hơn (Frontier,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các nghiên cứu về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tài liệu nghiên cứu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3"/>
    <w:bookmarkStart w:id="34"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các nghiên cứu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6"/>
    <w:bookmarkStart w:id="37"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turning point TP</w:t>
      </w:r>
      <w:r>
        <w:t xml:space="preserve"> </w:t>
      </w:r>
      <m:oMath>
        <m:r>
          <m:rPr>
            <m:sty m:val="p"/>
          </m:rPr>
          <m:t>≈</m:t>
        </m:r>
      </m:oMath>
      <w:r>
        <w:t xml:space="preserve"> </w:t>
      </w:r>
      <w:r>
        <w:t xml:space="preserve">88,6%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w:t>
      </w:r>
      <w:r>
        <w:t xml:space="preserve"> </w:t>
      </w:r>
      <m:oMath>
        <m:r>
          <m:rPr>
            <m:sty m:val="p"/>
          </m:rPr>
          <m:t>≈</m:t>
        </m:r>
      </m:oMath>
      <w:r>
        <w:t xml:space="preserve"> </w:t>
      </w:r>
      <w:r>
        <w:t xml:space="preserve">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7"/>
    <w:bookmarkStart w:id="38" w:name="X3f7c356bbecb0845bc3ba35928bc46323a69176"/>
    <w:p>
      <w:pPr>
        <w:pStyle w:val="Heading3"/>
      </w:pPr>
      <w:r>
        <w:t xml:space="preserve">5.4.3 Đề xuất đặc biệt cho SIDS,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nhưng có đặc điểm cấu trúc còn thách thức hơn: quy mô SME chiếm ưu thế, TCI thấp hơn trung bình quốc gia, và tỷ lệ FSTS cấu trúc cao (gạo, thủy sản vốn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Frontier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02"/>
        </w:numPr>
      </w:pPr>
      <w:r>
        <w:rPr>
          <w:bCs/>
          <w:b/>
        </w:rPr>
        <w:t xml:space="preserve">P4</w:t>
      </w:r>
      <w:r>
        <w:t xml:space="preserve"> </w:t>
      </w:r>
      <w:r>
        <w:t xml:space="preserve">(Mar et al., 2026): phân tích Singapore (Advanced Innovation), xác nhận inverted-U với TP</w:t>
      </w:r>
      <w:r>
        <w:t xml:space="preserve"> </w:t>
      </w:r>
      <m:oMath>
        <m:r>
          <m:rPr>
            <m:sty m:val="p"/>
          </m:rPr>
          <m:t>≈</m:t>
        </m:r>
      </m:oMath>
      <w:r>
        <w:t xml:space="preserve"> </w:t>
      </w:r>
      <w:r>
        <w:t xml:space="preserve">88,6% (rộng CI), DAI khuếch đại tại mức FSTS cao.</w:t>
      </w:r>
    </w:p>
    <w:p>
      <w:pPr>
        <w:numPr>
          <w:ilvl w:val="0"/>
          <w:numId w:val="1002"/>
        </w:numPr>
      </w:pPr>
      <w:r>
        <w:rPr>
          <w:bCs/>
          <w:b/>
        </w:rPr>
        <w:t xml:space="preserve">P5</w:t>
      </w:r>
      <w:r>
        <w:t xml:space="preserve"> </w:t>
      </w:r>
      <w:r>
        <w:t xml:space="preserve">(Do &amp; Phan, 2026f): phân tích Trung Quốc 2012-2024 (Upper-middle), xác nhận inverted-U ổn định theo thời gian (TP</w:t>
      </w:r>
      <w:r>
        <w:t xml:space="preserve"> </w:t>
      </w:r>
      <m:oMath>
        <m:r>
          <m:rPr>
            <m:sty m:val="p"/>
          </m:rPr>
          <m:t>≈</m:t>
        </m:r>
      </m:oMath>
      <w:r>
        <w:t xml:space="preserve"> </w:t>
      </w:r>
      <w:r>
        <w:t xml:space="preserve">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các nghiên cứu meta-analysis về quan hệ I-P bằng cách phân tách cấu trúc dị biệt và xác định ICRV như moderator có ý nghĩa; (ii) các nghiên cứu về năng lực số bằng cách làm rõ DAI là situational resource chứ không phải foundational capability; và (iii) các nghiên cứu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2026-05-25T09:02:46Z</dcterms:created>
  <dcterms:modified xsi:type="dcterms:W3CDTF">2026-05-25T09:02:46Z</dcterms:modified>
</cp:coreProperties>
</file>

<file path=docProps/custom.xml><?xml version="1.0" encoding="utf-8"?>
<Properties xmlns="http://schemas.openxmlformats.org/officeDocument/2006/custom-properties" xmlns:vt="http://schemas.openxmlformats.org/officeDocument/2006/docPropsVTypes"/>
</file>