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2"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w:t>
      </w:r>
      <w:r>
        <w:t xml:space="preserve"> </w:t>
      </w:r>
      <w:r>
        <w:t xml:space="preserve">‘</w:t>
      </w:r>
      <w:r>
        <w:t xml:space="preserve">does internationalisation help?</w:t>
      </w:r>
      <w:r>
        <w:t xml:space="preserve">’</w:t>
      </w:r>
      <w:r>
        <w:t xml:space="preserve"> </w:t>
      </w:r>
      <w:r>
        <w:t xml:space="preserve">to</w:t>
      </w:r>
      <w:r>
        <w:t xml:space="preserve"> </w:t>
      </w:r>
      <w:r>
        <w:t xml:space="preserve">‘</w:t>
      </w:r>
      <w:r>
        <w:t xml:space="preserve">under what institutional conditions does the threshold shift?</w:t>
      </w:r>
      <w:r>
        <w:t xml:space="preserv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2"/>
    <w:bookmarkStart w:id="23"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3"/>
    <w:bookmarkStart w:id="28" w:name="introduction"/>
    <w:p>
      <w:pPr>
        <w:pStyle w:val="Heading2"/>
      </w:pPr>
      <w:r>
        <w:t xml:space="preserve">1. Introduction</w:t>
      </w:r>
    </w:p>
    <w:bookmarkStart w:id="24"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4"/>
    <w:bookmarkStart w:id="25"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5"/>
    <w:bookmarkStart w:id="26"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6"/>
    <w:bookmarkStart w:id="27"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7"/>
    <w:bookmarkEnd w:id="28"/>
    <w:bookmarkStart w:id="36" w:name="theory-and-hypotheses"/>
    <w:p>
      <w:pPr>
        <w:pStyle w:val="Heading2"/>
      </w:pPr>
      <w:r>
        <w:t xml:space="preserve">2. Theory and hypotheses</w:t>
      </w:r>
    </w:p>
    <w:bookmarkStart w:id="29"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9"/>
    <w:bookmarkStart w:id="30"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30"/>
    <w:bookmarkStart w:id="31"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31"/>
    <w:bookmarkStart w:id="35" w:name="stage-contingent-digital-value"/>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CaptionedFigure"/>
      </w:pPr>
      <w:r>
        <w:drawing>
          <wp:inline>
            <wp:extent cx="5753100" cy="3160501"/>
            <wp:effectExtent b="0" l="0" r="0" t="0"/>
            <wp:docPr descr="Figure 1: Conceptual model — TCI, DAI, and export intensity as determinants of firm performance (Vietnam, 3-wave)"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5"/>
    <w:bookmarkEnd w:id="36"/>
    <w:bookmarkStart w:id="42" w:name="data-variables-and-empirical-strategy"/>
    <w:p>
      <w:pPr>
        <w:pStyle w:val="Heading2"/>
      </w:pPr>
      <w:r>
        <w:t xml:space="preserve">3. Data, variables, and empirical strategy</w:t>
      </w:r>
    </w:p>
    <w:bookmarkStart w:id="37"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7"/>
    <w:bookmarkStart w:id="38"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8"/>
    <w:bookmarkStart w:id="39" w:name="model-sequence"/>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9"/>
    <w:bookmarkStart w:id="40" w:name="identification-and-endogeneity-strategy"/>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40"/>
    <w:bookmarkStart w:id="41" w:name="replication-and-reproducibility"/>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1"/>
    <w:bookmarkEnd w:id="42"/>
    <w:bookmarkStart w:id="64" w:name="results"/>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3"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43"/>
    <w:bookmarkStart w:id="56" w:name="pooled-findings"/>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**Turning point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753100" cy="3835399"/>
            <wp:effectExtent b="0" l="0" r="0" t="0"/>
            <wp:docPr descr="Figure 2a: Wave 2009 — predicted ln(labour productivity) vs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753100" cy="3835399"/>
            <wp:effectExtent b="0" l="0" r="0" t="0"/>
            <wp:docPr descr="Figure 2b: Wave 2015 — predicted ln(labour productivity) vs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753100" cy="3835399"/>
            <wp:effectExtent b="0" l="0" r="0" t="0"/>
            <wp:docPr descr="Figure 2c: Wave 2023 — predicted ln(labour productivity) vs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753100" cy="3835399"/>
            <wp:effectExtent b="0" l="0" r="0" t="0"/>
            <wp:docPr descr="Figure 2d: Pooled (2009+2015+2023) — predicted ln(labour productivity) vs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6"/>
    <w:bookmarkStart w:id="60"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753100" cy="2401293"/>
            <wp:effectExtent b="0" l="0" r="0" t="0"/>
            <wp:docPr descr="Figure 3: Moderator marginal effects — TCI and DAI interactions with FSTS (Viet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60"/>
    <w:bookmarkStart w:id="61"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1"/>
    <w:bookmarkStart w:id="63"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2"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2"/>
    <w:bookmarkEnd w:id="63"/>
    <w:bookmarkEnd w:id="64"/>
    <w:bookmarkStart w:id="70" w:name="discussion"/>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 not merely a compositional artefact of positive selection into exporting.</w:t>
      </w:r>
    </w:p>
    <w:bookmarkStart w:id="65"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5"/>
    <w:bookmarkStart w:id="66"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6"/>
    <w:bookmarkStart w:id="67" w:name="the-significance-of-the-2015-dip"/>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7"/>
    <w:bookmarkStart w:id="68"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8"/>
    <w:bookmarkStart w:id="69"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9"/>
    <w:bookmarkEnd w:id="70"/>
    <w:bookmarkStart w:id="71"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FirstParagraph"/>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1"/>
    <w:bookmarkStart w:id="72"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2"/>
    <w:bookmarkStart w:id="73" w:name="conflict-of-interest"/>
    <w:p>
      <w:pPr>
        <w:pStyle w:val="Heading2"/>
      </w:pPr>
      <w:r>
        <w:t xml:space="preserve">Conflict of interest</w:t>
      </w:r>
    </w:p>
    <w:p>
      <w:pPr>
        <w:pStyle w:val="FirstParagraph"/>
      </w:pPr>
      <w:r>
        <w:t xml:space="preserve">The authors declare no conflict of interest.</w:t>
      </w:r>
    </w:p>
    <w:bookmarkEnd w:id="73"/>
    <w:bookmarkStart w:id="74"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4"/>
    <w:bookmarkStart w:id="75"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5"/>
    <w:bookmarkStart w:id="76"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6"/>
    <w:bookmarkStart w:id="77"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7"/>
    <w:bookmarkStart w:id="78"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9"/>
    <w:bookmarkEnd w:id="8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2026-05-25T09:03:23Z</dcterms:created>
  <dcterms:modified xsi:type="dcterms:W3CDTF">2026-05-25T09:03:23Z</dcterms:modified>
</cp:coreProperties>
</file>

<file path=docProps/custom.xml><?xml version="1.0" encoding="utf-8"?>
<Properties xmlns="http://schemas.openxmlformats.org/officeDocument/2006/custom-properties" xmlns:vt="http://schemas.openxmlformats.org/officeDocument/2006/docPropsVTypes"/>
</file>