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College of Economics, Can Tho University · huongp1323001@gstudent.ctu.edu.vn · ORCID:</w:t>
      </w:r>
      <w:r>
        <w:t xml:space="preserve"> </w:t>
      </w:r>
      <w:hyperlink r:id="rId20">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8"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First, the I–P relationship within the observed export-intensity range is better characterized as predominantly positive with mild quadratic curvature than as an inverted-U; the implied turning point lies in a sparsely populated upper tail. Second, TCI is positively associated with labour productivity, but no TCI moderation of the I–P curve is detected. Third, DAI does not produce a uniform productivity premium; instead, its productivity association becomes more positive only at higher export intensity, with the clearest signal in the high-export tail. These findings suggest that foundational digital adoption functions as a contingent scaling resource — its productivity relevance activates under cross-border coordination demands —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 These conditions are empirically grounded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while the Smart Nation 2.0 initiative (launched 2024) formalizes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we term a</w:t>
      </w:r>
      <w:r>
        <w:t xml:space="preserve"> </w:t>
      </w:r>
      <w:r>
        <w:rPr>
          <w:iCs/>
          <w:i/>
        </w:rPr>
        <w:t xml:space="preserve">digital saturation paradox</w:t>
      </w:r>
      <w:r>
        <w:t xml:space="preserve">: in an environment where Tier 1–2 digital interfaces (websites, electronic payment systems) are already widely diffused, these tools appear to function as hygiene factors for domestic operations rather than differentiating assets. This near-universal Tier 1–2 diffusion is enabled by Singapore’s nationally deployed Digital Public Infrastructure — encompassing digital identity systems, payment rails, and data-exchange platforms — which the World Bank (2025a) identifies as the foundational enabling layer for firm-level digital adoption in advanced economies. Consistent with this, the Singapore sample reveals that 82% of firms report zero exports, while only 3% exceed 50% foreign sales to total sales — a striking domestic orientation despite the economy’s mature digital infrastructure. As a result, the productivity returns to foundational digital adoption should not be expected to manifest uniformly across sampled firms; instead, they should become measurable primarily when firms face the intensified coordination and transaction demands of cross-border activity. Singapore therefore serves not merely as a convenient empirical backdrop, but as an analytically ideal stress test —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 Focusing on Tier 1–2 adoption — the most widely diffused and comparable digital layer — is therefore a deliberate design choice: if even these foundational tools exhibit export-contingent productivity associations, higher-tier technologies (automation, integrated ERP, AI-enabled systems) should produce even stronger differentiation, making this the most conservative and replicable test of the conditional digital adoption hypothesis.</w:t>
      </w:r>
      <w:r>
        <w:t xml:space="preserve"> </w:t>
      </w:r>
      <w:r>
        <w:t xml:space="preserve">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r>
        <w:t xml:space="preserve"> </w:t>
      </w:r>
      <w:r>
        <w:t xml:space="preserve">### 1.3 Contribution</w:t>
      </w:r>
      <w:r>
        <w:t xml:space="preserve"> </w:t>
      </w: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 DAI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 consistent with the saturation hypothesis —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§4.5 R1 indicator-sensitivity diagnostic further clarifies that the Tier-1+2 composition of DAI — combining website presence with two-way electronic-payment intensity —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we name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§4. The substitution and selection mechanisms are retained as alternative explanations to be assessed against the robustness evidence in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753100" cy="3978568"/>
            <wp:effectExtent b="0" l="0" r="0" t="0"/>
            <wp:docPr descr="Figure 1: Conceptual model —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753100" cy="3978568"/>
                    </a:xfrm>
                    <a:prstGeom prst="rect">
                      <a:avLst/>
                    </a:prstGeom>
                    <a:noFill/>
                    <a:ln w="9525">
                      <a:noFill/>
                      <a:headEnd/>
                      <a:tailEnd/>
                    </a:ln>
                  </pic:spPr>
                </pic:pic>
              </a:graphicData>
            </a:graphic>
          </wp:inline>
        </w:drawing>
      </w:r>
    </w:p>
    <w:p>
      <w:pPr>
        <w:pStyle w:val="ImageCaption"/>
      </w:pPr>
      <w:r>
        <w:t xml:space="preserve">Figure 1: Conceptual model —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 internationalisation intensity (FSTS, FSTS²_c) — is placed at left; the dependent variable — ln(labour productivity) — is placed at right. H1 (inverted-U tendency with support-constrained turning point ~88.6% FSTS, bootstrap CI [53%, 253%]) is grounded in coordination-cost theory (Hitt et al., 1997); the right-side decline is not formally identified within the observed FSTS range — a theoretically informative result under the saturation framework (Lind–Mehlum p = .303). H1-TCI: technological capability (TCI_z, RBV: Barney, 1991) enters as a direct level-shift to firm performance. H2: DAI (Tier-1+2: website + e-payment) exhibits a non-uniform positive direct effect, varying across export intensity. H3: DAI amplifies I→P performance returns at high FSTS —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H3 amplification test conducted on exporters-only subsample (n ≈ 84; power ≈ 16% — corroborating signal, not independent identification). ICRV context: Singapore — Advanced I. Data: WBES 2023; N = 623.</w:t>
      </w:r>
      <w:r>
        <w:t xml:space="preserve"> </w:t>
      </w:r>
      <w:r>
        <w:t xml:space="preserve">## 3 Methods</w:t>
      </w:r>
      <w:r>
        <w:t xml:space="preserve"> </w:t>
      </w:r>
      <w:r>
        <w:t xml:space="preserve">### 3.1 Data</w:t>
      </w:r>
      <w:r>
        <w:t xml:space="preserve"> </w:t>
      </w: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 a measurement implication that is borne out in the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§5.1 for the construct-boundary discussion). The Lind–Mehlum equivalence test result (p = .303) reported in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 from β = +3.119 (p = .005) in the Tier-1+2 specification to a smaller and statistically weaker estimate — while the Tier-1+2 full model’s adjusted R² advantage is also reduced. This pattern is directionally consistent with the theoretical construct-boundary argument developed in §1.2 and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 baseline):</w:t>
      </w:r>
      <w:r>
        <w:t xml:space="preserve"> </w:t>
      </w:r>
      <w:r>
        <w:t xml:space="preserve">ln(LP)ᵢ = α + γ₁ ln(Emp)ᵢ + γ₂ FirmAgeᵢ + γ₃ ForeignOwnᵢ + δ_s + εᵢ</w:t>
      </w:r>
    </w:p>
    <w:p>
      <w:pPr>
        <w:pStyle w:val="BodyText"/>
      </w:pPr>
      <w:r>
        <w:rPr>
          <w:bCs/>
          <w:b/>
        </w:rPr>
        <w:t xml:space="preserve">M1 (Linear FSTS):</w:t>
      </w:r>
      <w:r>
        <w:t xml:space="preserve"> </w:t>
      </w:r>
      <w:r>
        <w:t xml:space="preserve">ln(LP)ᵢ = α + β₁ FSTS_cᵢ + γ·Xᵢ + δ_s + εᵢ</w:t>
      </w:r>
    </w:p>
    <w:p>
      <w:pPr>
        <w:pStyle w:val="BodyText"/>
      </w:pPr>
      <w:r>
        <w:rPr>
          <w:bCs/>
          <w:b/>
        </w:rPr>
        <w:t xml:space="preserve">M2 (Quadratic FSTS — H1 baseline curvature test):</w:t>
      </w:r>
      <w:r>
        <w:t xml:space="preserve"> </w:t>
      </w:r>
      <w:r>
        <w:t xml:space="preserve">ln(LP)ᵢ = α + β₁ FSTS_cᵢ + β₂ FSTS_c²ᵢ + γ·Xᵢ + δ_s + εᵢ</w:t>
      </w:r>
      <w:r>
        <w:t xml:space="preserve"> </w:t>
      </w:r>
      <w:r>
        <w:t xml:space="preserve">Turning point: TP* = −β₁ / (2β₂) + mean(FSTS) [H1: expected TP support-constrained; LM test p = .303]</w:t>
      </w:r>
    </w:p>
    <w:p>
      <w:pPr>
        <w:pStyle w:val="BodyText"/>
      </w:pPr>
      <w:r>
        <w:rPr>
          <w:bCs/>
          <w:b/>
        </w:rPr>
        <w:t xml:space="preserve">M3 (TCI direct — H1-TCI level effect):</w:t>
      </w:r>
      <w:r>
        <w:t xml:space="preserve"> </w:t>
      </w:r>
      <w:r>
        <w:t xml:space="preserve">ln(LP)ᵢ = α + β₁ FSTS_cᵢ + β₂ FSTS_c²ᵢ + β₃ TCI_zᵢ + γ·Xᵢ + δ_s + εᵢ</w:t>
      </w:r>
    </w:p>
    <w:p>
      <w:pPr>
        <w:pStyle w:val="BodyText"/>
      </w:pPr>
      <w:r>
        <w:rPr>
          <w:bCs/>
          <w:b/>
        </w:rPr>
        <w:t xml:space="preserve">M4 (TCI moderation — supplementary):</w:t>
      </w:r>
      <w:r>
        <w:t xml:space="preserve"> </w:t>
      </w:r>
      <w:r>
        <w:t xml:space="preserve">ln(LP)ᵢ = α + β₁ FSTS_cᵢ + β₂ FSTS_c²ᵢ + β₃ TCI_zᵢ + β₄(FSTS_cᵢ × TCI_zᵢ) + β₅(FSTS_c²ᵢ × TCI_zᵢ) + γ·Xᵢ + δ_s + εᵢ</w:t>
      </w:r>
    </w:p>
    <w:p>
      <w:pPr>
        <w:pStyle w:val="BodyText"/>
      </w:pPr>
      <w:r>
        <w:rPr>
          <w:bCs/>
          <w:b/>
        </w:rPr>
        <w:t xml:space="preserve">M5 (DAI direct — H2 test):</w:t>
      </w:r>
      <w:r>
        <w:t xml:space="preserve"> </w:t>
      </w:r>
      <w:r>
        <w:t xml:space="preserve">ln(LP)ᵢ = α + β₁ FSTS_cᵢ + β₂ FSTS_c²ᵢ + β₃ DAI_zᵢ + γ·Xᵢ + δ_s + εᵢ</w:t>
      </w:r>
    </w:p>
    <w:p>
      <w:pPr>
        <w:pStyle w:val="BodyText"/>
      </w:pPr>
      <w:r>
        <w:rPr>
          <w:bCs/>
          <w:b/>
        </w:rPr>
        <w:t xml:space="preserve">M6 (Dual direct effects):</w:t>
      </w:r>
      <w:r>
        <w:t xml:space="preserve"> </w:t>
      </w:r>
      <w:r>
        <w:t xml:space="preserve">ln(LP)ᵢ = α + β₁ FSTS_cᵢ + β₂ FSTS_c²ᵢ + β₃ TCI_zᵢ + β₄ DAI_zᵢ + γ·Xᵢ + δ_s + εᵢ</w:t>
      </w:r>
    </w:p>
    <w:p>
      <w:pPr>
        <w:pStyle w:val="BodyText"/>
      </w:pPr>
      <w:r>
        <w:rPr>
          <w:bCs/>
          <w:b/>
        </w:rPr>
        <w:t xml:space="preserve">M7 (DAI linear interaction):</w:t>
      </w:r>
      <w:r>
        <w:t xml:space="preserve"> </w:t>
      </w:r>
      <w:r>
        <w:t xml:space="preserve">ln(LP)ᵢ = α + β₁ FSTS_cᵢ + β₂ FSTS_c²ᵢ + β₃ TCI_zᵢ + β₄ DAI_zᵢ + β₅(FSTS_cᵢ × DAI_zᵢ) + γ·Xᵢ + δ_s + εᵢ</w:t>
      </w:r>
    </w:p>
    <w:p>
      <w:pPr>
        <w:pStyle w:val="BodyText"/>
      </w:pPr>
      <w:r>
        <w:rPr>
          <w:bCs/>
          <w:b/>
        </w:rPr>
        <w:t xml:space="preserve">M8 (Full moderation model — H3 primary test):</w:t>
      </w:r>
      <w:r>
        <w:t xml:space="preserve"> </w:t>
      </w:r>
      <w:r>
        <w:t xml:space="preserve">ln(LP)ᵢ = α + β₁ FSTS_cᵢ + β₂ FSTS_c²ᵢ + β₃ TCI_zᵢ + β₄ DAI_zᵢ + β₅(FSTS_cᵢ × DAI_zᵢ) + β₆(FSTS_c²ᵢ × DAI_zᵢ) + γ·Xᵢ + δ_s + εᵢ</w:t>
      </w:r>
      <w:r>
        <w:t xml:space="preserve"> </w:t>
      </w:r>
      <w:r>
        <w:t xml:space="preserve">[H3: β₆ &gt; 0 (p &lt; .01) — amplification; confirmed: β₆ = +3.119, p =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§3.4(iv)).</w:t>
      </w:r>
    </w:p>
    <w:p>
      <w:pPr>
        <w:pStyle w:val="BodyText"/>
      </w:pPr>
      <w:r>
        <w:t xml:space="preserve">The full model includes centred FSTS, squared centred FSTS, TCI, DAI, the interaction between FSTS and DAI, and the quadratic interaction between FSTS²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 cross-sectional variation in trade costs, export-promotion eligibility, or broadband-rollout timing is not available within the survey frame —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§3.4 below for transparency, but is not treated as the primary specification. The associational nature of the OLS estimates is therefore acknowledged upfront, and inferential claims are bounded to within-context associations rather than causal effects.</w:t>
      </w:r>
    </w:p>
    <w:bookmarkEnd w:id="26"/>
    <w:bookmarkStart w:id="27"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§4 results can be presented without recurrent caveats and the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§3.4(i) sample-support boundary establishes is absent here. Read against the saturation hypothesis developed in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§4 results below are reported on this consolidated identification scope, and §5 interprets the substantive findings without further re-litigation of these boundary conditions.</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 approximately 67% of firms report website presence and Tier 2 e-payment adoption is widespread —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564514" cy="3588675"/>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422070" cy="3593270"/>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§3.4(ii) and is not repeated here. (ii)</w:t>
      </w:r>
      <w:r>
        <w:t xml:space="preserve"> </w:t>
      </w:r>
      <w:r>
        <w:rPr>
          <w:iCs/>
          <w:i/>
        </w:rPr>
        <w:t xml:space="preserve">Export participation selection</w:t>
      </w:r>
      <w:r>
        <w:t xml:space="preserve">: the inverse-Mills-ratio sensitivity diagnostic for selection at the extensive margin of exporting is reported at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First, the TCI result supports a capability-depth interpretation of firm performance in internationalizing firms. Technological capability is positively associated with labour productivity in a way that is more stable than any moderation pattern identified in the present design, which is consistent with the view that internal capability depth is associated with a stronger productivity base from which firms engage international markets. This interpretation fits the absorptive-capacity and technological-capability traditions by emphasizing learning, innovation, and technology absorption as firm-internal sources of productivity heterogeneity rather than as clearly identified shifters of I–P curvature.</w:t>
      </w:r>
      <w:r>
        <w:t xml:space="preserve"> </w:t>
      </w:r>
      <w:r>
        <w:t xml:space="preserve">Second,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but that it provides within-context evidence from Singapore showing how the conventional I–P logic appears when most firms remain clustered at very low export intensity and the upper tail is thin. In that sense, the study sharpens interpretation of the nonlinear literature without claiming that a single-country cross-section can separate a context-specific mechanism from Singapore-specific institutional features.</w:t>
      </w:r>
      <w:r>
        <w:t xml:space="preserve"> </w:t>
      </w:r>
      <w:r>
        <w:t xml:space="preserve">Third, the DAI result suggests that foundational digital adoption is better understood as a conditional scaling resource than as a uniform firm-level productivity premium. Across much of the observed export-intensity distribution, the DAI association is weak or statistically indistinct, but it becomes more positive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with the caveat that the evidence is concentrated in a thin-support region and should therefore be interpreted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 consistent with the digital saturation paradox outlined in the introduction. Their measurable return surfaces only when the scaling demands of high export intensity justify intensive use of digital interfaces and transaction systems. The scale of Singapore’s innovation ecosystem —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 confirming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 for which no instrument satisfying the exclusion restriction is available in the single-wave Singapore design — and the §4.5 (ii) Heckman sensitivity diagnostic indicates mild but non-eliminating extensive-margin selection. Read together, the evidence supports amplification as the focal mechanism while retaining selection as a bounded residual concern, in line with the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 as the §4.5 R1 specification shows: when DAI is reduced to the website-only Tier-1 binary, the quadratic interaction weakens substantially (β drops from +3.119 to +1.552, joint F retained marginal at 4.01, p =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 website presence (c22b) combined with electronic payment integration (k33/k38) embedded in the public digital infrastructure — enabling firms to execute frictionless cross-border transactions. In contrast, in transitional economies where Tier-2 payment infrastructure remains institutionally bounded — settings where cross-border electronic-payment rails reached systemic scale only in the late 2010s, as documented across lower-middle-income Asia in World Bank digital infrastructure assessments (World Bank, 2023) —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First, the analysis is based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is therefore that the study documents how these variables co-vary in Singapore rather than establishing a causal mechanism.</w:t>
      </w:r>
      <w:r>
        <w:t xml:space="preserve"> </w:t>
      </w:r>
      <w:r>
        <w:t xml:space="preserve">Second, the sample contains a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Third, the estimated digital-adoption effect should be interpreted within the measurement boundary of the available indicators. The DAI construct captures Tier 1–2 digital adoption — digital presence and electronic-transaction usage —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 including instrumental-variable or difference-in-differences specifications keyed to digital-infrastructure rollouts or trade-policy shocks —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rPr>
          <w:iCs/>
          <w:i/>
        </w:rPr>
        <w:t xml:space="preserve">Additional contextual sources (cited in §1.1 and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2026-05-25T09:03:34Z</dcterms:created>
  <dcterms:modified xsi:type="dcterms:W3CDTF">2026-05-25T09:03:34Z</dcterms:modified>
</cp:coreProperties>
</file>

<file path=docProps/custom.xml><?xml version="1.0" encoding="utf-8"?>
<Properties xmlns="http://schemas.openxmlformats.org/officeDocument/2006/custom-properties" xmlns:vt="http://schemas.openxmlformats.org/officeDocument/2006/docPropsVTypes"/>
</file>