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[0.019, 0.051])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238,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the Q_M is driven by a</w:t>
      </w:r>
      <w:r>
        <w:t xml:space="preserve"> </w:t>
      </w:r>
      <w:r>
        <w:rPr>
          <w:iCs/>
          <w:i/>
        </w:rPr>
        <w:t xml:space="preserve">k</w:t>
      </w:r>
      <w:r>
        <w:t xml:space="preserve"> </w:t>
      </w:r>
      <w:r>
        <w:t xml:space="preserve">= 3 Frontier-group anomaly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62.4%) remains unresolved by the tested moderators, suggesting that future research should test alternative theoretical contingencies or that between-study heterogeneity is predominantly within-paper (Level 2, 54.1%) rather than between-country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at k = 3 Frontier.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(σ²_within = 0.00878, I²_(2) = 54.1%) within between-study heterogeneity (σ²_between = 0.00136, I²_(3) = 8.4%); total I² = 62.4%. Publication bias (H4 confirmed): Egger’s b = 0.475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fulltext_to_extraction_tracker_v2.csv</w:t>
      </w:r>
      <w:r>
        <w:t xml:space="preserve"> </w:t>
      </w:r>
      <w:r>
        <w:t xml:space="preserve">(435 rows × 58 cols;</w:t>
      </w:r>
      <w:r>
        <w:t xml:space="preserve"> </w:t>
      </w:r>
      <w:r>
        <w:rPr>
          <w:rStyle w:val="VerbatimChar"/>
        </w:rPr>
        <w:t xml:space="preserve">extraction_priority</w:t>
      </w:r>
      <w:r>
        <w:t xml:space="preserve">: 310</w:t>
      </w:r>
      <w:r>
        <w:t xml:space="preserve"> </w:t>
      </w:r>
      <w:r>
        <w:rPr>
          <w:rStyle w:val="VerbatimChar"/>
        </w:rPr>
        <w:t xml:space="preserve">1_DOI_FIRST</w:t>
      </w:r>
      <w:r>
        <w:t xml:space="preserve"> </w:t>
      </w:r>
      <w:r>
        <w:t xml:space="preserve">+ 125</w:t>
      </w:r>
      <w:r>
        <w:t xml:space="preserve"> </w:t>
      </w:r>
      <w:r>
        <w:rPr>
          <w:rStyle w:val="VerbatimChar"/>
        </w:rPr>
        <w:t xml:space="preserve">2_NO_DOI_MANUAL</w:t>
      </w:r>
      <w:r>
        <w:t xml:space="preserve">).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represents country-context differences that ICRV, cDAI, and DPL phase were designed to explain. Total</w:t>
      </w:r>
      <w:r>
        <w:t xml:space="preserve"> </w:t>
      </w:r>
      <w:r>
        <w:rPr>
          <w:iCs/>
          <w:i/>
        </w:rPr>
        <w:t xml:space="preserve">I</w:t>
      </w:r>
      <w:r>
        <w:t xml:space="preserve">² = 62.4%, indicating substantial heterogeneity beyond sampling error — the motivation for moderator analysis, though the moderator analyses in §§4.3–4.5 do not resolve this heterogeneity significantly.</w:t>
      </w:r>
    </w:p>
    <w:bookmarkEnd w:id="44"/>
    <w:bookmarkStart w:id="48"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between-regime Q_M test is statistically significant as hypothesized. Exploratory Propositions E1a (Advanced largest) and E1b (Frontier smallest) are</w:t>
      </w:r>
      <w:r>
        <w:t xml:space="preserve"> </w:t>
      </w:r>
      <w:r>
        <w:rPr>
          <w:bCs/>
          <w:b/>
        </w:rPr>
        <w:t xml:space="preserve">not meta-analytically confirmed</w:t>
      </w:r>
      <w:r>
        <w:t xml:space="preserve">: the significant Q_M is driven by the</w:t>
      </w:r>
      <w:r>
        <w:t xml:space="preserve"> </w:t>
      </w:r>
      <w:r>
        <w:rPr>
          <w:iCs/>
          <w:i/>
        </w:rPr>
        <w:t xml:space="preserve">k</w:t>
      </w:r>
      <w:r>
        <w:t xml:space="preserve"> </w:t>
      </w:r>
      <w:r>
        <w:t xml:space="preserve">= 3 Frontier-group anomaly rather than a monotone institutional gradient; see below.</w:t>
      </w:r>
    </w:p>
    <w:p>
      <w:pPr>
        <w:pStyle w:val="BodyText"/>
      </w:pPr>
      <w:r>
        <w:rPr>
          <w:bCs/>
          <w:b/>
        </w:rPr>
        <w:t xml:space="preserve">Table 4.2 — ICRV regime subgroup results</w:t>
      </w:r>
      <w:r>
        <w:t xml:space="preserve"> </w:t>
      </w:r>
      <w:r>
        <w:rPr>
          <w:iCs/>
          <w:i/>
        </w:rPr>
        <w:t xml:space="preserve">(actual MARA output, k=238/K=288)</w:t>
      </w:r>
    </w:p>
    <w:tbl>
      <w:tblPr>
        <w:tblStyle w:val="Table"/>
        <w:tblW w:type="pct" w:w="5000"/>
        <w:tblLook w:firstRow="1" w:lastRow="0" w:firstColumn="0" w:lastColumn="0" w:noHBand="0" w:noVBand="0" w:val="0020"/>
        <w:jc w:val="start"/>
      </w:tblPr>
      <w:tblGrid>
        <w:gridCol w:w="1980"/>
        <w:gridCol w:w="1237"/>
        <w:gridCol w:w="1237"/>
        <w:gridCol w:w="1980"/>
        <w:gridCol w:w="148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 Emerging (VN, IN, CN,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CaptionedFigure"/>
      </w:pPr>
      <w:r>
        <w:drawing>
          <wp:inline>
            <wp:extent cx="5753100" cy="3430252"/>
            <wp:effectExtent b="0" l="0" r="0" t="0"/>
            <wp:docPr descr="Figure 2: ICRV 5-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 between-group pattern does not confirm the hypothesized monotone gradient (I &gt; II &gt; III &gt; Frontier). Pairwise contrasts against Group I (intercept) reveal that 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 differ significantly from Advanced-Innovation contexts. The only significant contrast is Group I vs. Frontier (b = +0.285,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 estimate, which is dominated by one outlier study (Pouresmaeili et al., 2018,</w:t>
      </w:r>
      <w:r>
        <w:t xml:space="preserve"> </w:t>
      </w:r>
      <w:r>
        <w:rPr>
          <w:iCs/>
          <w:i/>
        </w:rPr>
        <w:t xml:space="preserve">r</w:t>
      </w:r>
      <w:r>
        <w:t xml:space="preserve"> </w:t>
      </w:r>
      <w:r>
        <w:t xml:space="preserve">= 0.69). Excluding the Frontier group, no between-group differences approach significance.</w:t>
      </w:r>
    </w:p>
    <w:p>
      <w:pPr>
        <w:pStyle w:val="BodyText"/>
      </w:pPr>
      <w:r>
        <w:t xml:space="preserve">Group I (k=139, primarily Western MNEs and Asian advanced economies) shows the highest reliable I→P effect (</w:t>
      </w:r>
      <w:r>
        <w:rPr>
          <w:iCs/>
          <w:i/>
        </w:rPr>
        <w:t xml:space="preserve">r̄</w:t>
      </w:r>
      <w:r>
        <w:t xml:space="preserve"> </w:t>
      </w:r>
      <w:r>
        <w:t xml:space="preserve">= 0.079), and Group III (k=91, Emerging) shows</w:t>
      </w:r>
      <w:r>
        <w:t xml:space="preserve"> </w:t>
      </w:r>
      <w:r>
        <w:rPr>
          <w:iCs/>
          <w:i/>
        </w:rPr>
        <w:t xml:space="preserve">r̄</w:t>
      </w:r>
      <w:r>
        <w:t xml:space="preserve"> </w:t>
      </w:r>
      <w:r>
        <w:t xml:space="preserve">= 0.069 — a difference of 0.011 that is directionally consistent with CIMT but not statistically significant given within-group heterogeneity. H1 (between-regime heterogeneity</w:t>
      </w:r>
      <w:r>
        <w:t xml:space="preserve"> </w:t>
      </w:r>
      <w:r>
        <w:rPr>
          <w:iCs/>
          <w:i/>
        </w:rPr>
        <w:t xml:space="preserve">Q</w:t>
      </w:r>
      <w:r>
        <w:t xml:space="preserve">_M significant) is confirmed, establishing that I→P effect sizes vary systematically across ICRV regimes. However, E1a’s predicted directional ordering (Advanced &gt; Emerging) and E1b’s predicted Frontier floor are not statistically confirmable at</w:t>
      </w:r>
      <w:r>
        <w:t xml:space="preserve"> </w:t>
      </w:r>
      <w:r>
        <w:rPr>
          <w:iCs/>
          <w:i/>
        </w:rPr>
        <w:t xml:space="preserve">k</w:t>
      </w:r>
      <w:r>
        <w:t xml:space="preserve"> </w:t>
      </w:r>
      <w:r>
        <w:t xml:space="preserve">= 3 Frontier. The gradient-specific propositions require larger</w:t>
      </w:r>
      <w:r>
        <w:t xml:space="preserve"> </w:t>
      </w:r>
      <w:r>
        <w:rPr>
          <w:iCs/>
          <w:i/>
        </w:rPr>
        <w:t xml:space="preserve">k</w:t>
      </w:r>
      <w:r>
        <w:t xml:space="preserve"> </w:t>
      </w:r>
      <w:r>
        <w:t xml:space="preserve">per regime before they can be properly tested.</w:t>
      </w:r>
    </w:p>
    <w:bookmarkEnd w:id="48"/>
    <w:bookmarkStart w:id="49" w:name="cdai-moderation-h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0.475 (</w:t>
      </w:r>
      <w:r>
        <w:rPr>
          <w:iCs/>
          <w:i/>
        </w:rPr>
        <w:t xml:space="preserve">SE</w:t>
      </w:r>
      <w:r>
        <w:t xml:space="preserve"> </w:t>
      </w:r>
      <w:r>
        <w:t xml:space="preserve">= 0.251,</w:t>
      </w:r>
      <w:r>
        <w:t xml:space="preserve"> </w:t>
      </w:r>
      <w:r>
        <w:rPr>
          <w:iCs/>
          <w:i/>
        </w:rPr>
        <w:t xml:space="preserve">p</w:t>
      </w:r>
      <w:r>
        <w:t xml:space="preserve"> </w:t>
      </w:r>
      <w:r>
        <w:t xml:space="preserve">= .057) — just above the conventional α = .05 threshold; this criterion does not reach statistical significance, and funnel asymmetry by Egger’s test alone is not confirmed.</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[0.019,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0.076]</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0.076]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 (</w:t>
      </w:r>
      <w:r>
        <w:rPr>
          <w:iCs/>
          <w:i/>
        </w:rPr>
        <w:t xml:space="preserve">r̄</w:t>
      </w:r>
      <w:r>
        <w:t xml:space="preserve"> </w:t>
      </w:r>
      <w:r>
        <w:t xml:space="preserve">= 0.079) is the highest reliable estimate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However, the magnitude is much smaller than CIMT predicted, and the I→III difference is not statistically significant (</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0.069):</w:t>
      </w:r>
      <w:r>
        <w:t xml:space="preserve"> </w:t>
      </w:r>
      <w:r>
        <w:t xml:space="preserve">The Emerging group shows</w:t>
      </w:r>
      <w:r>
        <w:t xml:space="preserve"> </w:t>
      </w:r>
      <w:r>
        <w:rPr>
          <w:iCs/>
          <w:i/>
        </w:rPr>
        <w:t xml:space="preserve">r̄</w:t>
      </w:r>
      <w:r>
        <w:t xml:space="preserve"> </w:t>
      </w:r>
      <w:r>
        <w:t xml:space="preserve">= 0.069 — directionally below the Advanced group, consistent with CIMT’s institutional friction argument.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 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three studies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is driven by the</w:t>
      </w:r>
      <w:r>
        <w:t xml:space="preserve"> </w:t>
      </w:r>
      <w:r>
        <w:rPr>
          <w:iCs/>
          <w:i/>
        </w:rPr>
        <w:t xml:space="preserve">k</w:t>
      </w:r>
      <w:r>
        <w:t xml:space="preserve"> </w:t>
      </w:r>
      <w:r>
        <w:t xml:space="preserve">= 3 Frontier contrast rather than by well-powered pairwise contrasts across the Advanced/Upper-middle/Emerging cells,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124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[0.019,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with within-study variance (Level 2, 54.1%) dominating between-study variance (Level 3, 8.4%), suggesting that DOI operationalization and performance measure choices within papers are more important sources of heterogeneity than cross-country institutional differences.</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238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 the sole driver of ICRV significance; future work should reassess this coding and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[TBD] (prior DB: k = 238)</w:t>
      </w:r>
      <w:r>
        <w:br/>
      </w:r>
      <w:r>
        <w:rPr>
          <w:rStyle w:val="VerbatimChar"/>
        </w:rPr>
        <w:t xml:space="preserve">Effect sizes coded:                  K = [TBD] (prior DB: K = 288)</w:t>
      </w:r>
      <w:r>
        <w:br/>
      </w:r>
      <w:r>
        <w:br/>
      </w:r>
      <w:r>
        <w:rPr>
          <w:rStyle w:val="VerbatimChar"/>
        </w:rPr>
        <w:t xml:space="preserve">Note: Final k/K will reflect: existing k=238 + confirmed new studies from</w:t>
      </w:r>
      <w:r>
        <w:br/>
      </w:r>
      <w:r>
        <w:rPr>
          <w:rStyle w:val="VerbatimChar"/>
        </w:rPr>
        <w:t xml:space="preserve">2,032 new candidates after full-text L2 screening and effect-size extraction.</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2026-05-25T09:03:45Z</dcterms:created>
  <dcterms:modified xsi:type="dcterms:W3CDTF">2026-05-25T09:03:45Z</dcterms:modified>
</cp:coreProperties>
</file>

<file path=docProps/custom.xml><?xml version="1.0" encoding="utf-8"?>
<Properties xmlns="http://schemas.openxmlformats.org/officeDocument/2006/custom-properties" xmlns:vt="http://schemas.openxmlformats.org/officeDocument/2006/docPropsVTypes"/>
</file>