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d939fb7ebc3b693e204d9b25995438b635da76f"/>
    <w:p>
      <w:pPr>
        <w:pStyle w:val="Heading1"/>
      </w:pPr>
      <w:r>
        <w:t xml:space="preserve">Đa Quốc Gia Châu Á, Thể Chế và Hiệu Quả Doanh Nghiệp: Vai Trò Điều Tiết của Năng Lực Công Nghệ, Áp Dụng Số và Chế Độ Thể Chế</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Bài viết này xem xét liệu mối quan hệ quốc tế hóa–hiệu quả doanh nghiệp (I–P) có giữ vững trên một tập hợp các nền kinh tế châu Á và Thái Bình Dương đa dạng về thể chế hay không, đồng thời xác định các điều kiện giúp doanh nghiệp chuyển hóa cường độ xuất khẩu (Foreign Sales to Total Sales — FSTS) thành hiệu quả sản xuất. Sử dụng vi dữ liệu từ 91.982 doanh nghiệp tại 49 nền kinh tế và 102 đợt khảo sát quốc gia-năm thuộc Khảo sát Doanh nghiệp Thế giới (World Bank Enterprise Survey — WBES) giai đoạn 2003–2025, bao trùm cả sáu nhóm chế độ theo Biến thiên chế độ thể chế (Institutional Context Regime Variation — ICRV), chúng tôi ước lượng một chuỗi mô hình phân cấp (hierarchical model) sử dụng OLS với sai số chuẩn vững HC1. Kết quả cho thấy bằng chứng vững chắc về mối quan hệ I–P hình chữ U ngược với điểm ngưỡng (turning point) ở khoảng 36% doanh số từ xuất khẩu (kiểm định Lind–Mehlum p &lt; ,001; được xác nhận trong M11 với TP = 34,6%, p = ,002). Chỉ số năng lực công nghệ (Technological Capability Index — TCI) nâng cao mức hiệu quả doanh nghiệp mà không tái tạo đường cong một cách đáng tin cậy. Chỉ số áp dụng số (Digital Adoption Index — DAI) vừa nâng cao mức hiệu quả doanh nghiệp vừa tái tạo đáng kể đường cong I–P: các doanh nghiệp có DAI cao hơn trải nghiệm lợi nhuận biên nhánh lên nén lại ở mức FSTS thấp và hiệu suất suy giảm ít hơn ở mức FSTS cao (FSTS×DAI p &lt; ,01; FSTS²×DAI p &lt; ,01 trong M8–M9). Chế độ thể chế (ICRV) điều tiết cả độ dốc lẫn độ cong. Kinh nghiệm nhà quản lý và nhà quản lý nữ cải thiện hiệu quả doanh nghiệp; kinh nghiệm nhà quản lý còn điều tiết (moderation) hình dạng đường cong trong mô hình đầy đủ. Những phát hiện này đưa ra một giải pháp súc tích cho vấn đề không đồng nhất I–P tại châu Á: mối quan hệ này luôn có dạng hình chữ U ngược, nhưng chất lượng thể chế và năng lực số cùng nhau xác định vị trí của điểm ngưỡng.</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 Advanced Innovation) đến ~55% (Nhóm V–VI — Frontier/SIDS).</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Giải thích thông thường viện đến bối cảnh như một nhân tố điều tiết (Marano et al., 2016; Kirca et al., 2012), nhưng các kiểm định thực nghiệm đồng thời trên các nền kinh tế châu Á đa dạng về thể chế vẫn còn hiếm.</w:t>
      </w:r>
    </w:p>
    <w:p>
      <w:pPr>
        <w:pStyle w:val="BodyText"/>
      </w:pPr>
      <w:r>
        <w:t xml:space="preserve">Bài viết này giải quyết khoảng trống đó. Chúng tôi gộp 91.982 quan sát doanh nghiệp từ 49 nền kinh tế châu Á và Thái Bình Dương giai đoạn 2003–2025, được chuẩn hóa từ WBES. Mẫu bao trùm cả sáu nhóm chế độ ICRV —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Oman) — được phân loại theo khung ICRV là nền tảng xuyên suốt chương trình luận án tiến sĩ mà nghiên cứu này là một phần.</w:t>
      </w:r>
    </w:p>
    <w:p>
      <w:pPr>
        <w:pStyle w:val="BodyText"/>
      </w:pPr>
      <w:r>
        <w:t xml:space="preserve">Đóng góp của chúng tôi gồm ba điểm. Thứ nhất, chúng tôi cung cấp kiểm định lớn nhất dựa trên WBES về giả thuyết I–P hình chữ U ngược tại châu Á, xác nhận điểm ngưỡng ở khoảng 36% cường độ doanh số nước ngoài trên tất cả các đặc tả (N = 84.910–29.840), vững ngay cả trong mô hình điều tiết ba chiều đầy đủ (M11: TP = 34,6%, LM p = ,002). Thứ hai, chúng tôi ghi nhận DAI là nhân tố điều tiết năng lực chính định hình lại đường cong I–P, tạo ra các hiệu ứng nén đường cong có ý nghĩa thống kê (FSTS×DAI p &lt; ,001) xuất hiện ngay cả khi chưa kiểm soát đặc điểm nhà quản lý. TCI nâng cao mức hiệu quả doanh nghiệp nhưng không tái tạo đáng tin cậy nhánh lên trong mẫu này. Thứ ba, chúng tôi ghi nhận chế độ thể chế (nhóm ICRV) điều tiết có hệ thống cả độ dốc lẫn độ cong của hàm I–P, với các tương tác DAI×ICRV (p = ,012) cho thấy năng lực số mang lại lợi nhuận hiệu quả trên mỗi đơn vị mạnh hơn trong môi trường thể chế yếu hơn.</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29"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Chúng tôi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(~88,6%),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Síp)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p>
      <w:r>
        <w:pict>
          <v:rect style="width:0;height:1.5pt" o:hralign="center" o:hrstd="t" o:hr="t"/>
        </w:pict>
      </w:r>
    </w:p>
    <w:bookmarkEnd w:id="28"/>
    <w:bookmarkEnd w:id="29"/>
    <w:bookmarkStart w:id="34" w:name="dữ-liệu-và-phương-pháp"/>
    <w:p>
      <w:pPr>
        <w:pStyle w:val="Heading2"/>
      </w:pPr>
      <w:r>
        <w:t xml:space="preserve">3. Dữ Liệu và Phương Pháp</w:t>
      </w:r>
    </w:p>
    <w:bookmarkStart w:id="30"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49 nền kinh tế châu Á và Thái Bình Dương qua 102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Dữ liệu hiện có của Oman (năm 2003) có từ trước các biến năng lực số sử dụng trong M6–M11; nó đóng góp cho M2 nhưng bị loại khỏi M3+ do thiếu biến kiểm soát.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0"/>
    <w:bookmarkStart w:id="31"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1"/>
    <w:bookmarkStart w:id="32"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2"/>
    <w:bookmarkStart w:id="33" w:name="quy-mô-mẫu"/>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3"/>
    <w:bookmarkEnd w:id="34"/>
    <w:bookmarkStart w:id="42" w:name="kết-quả"/>
    <w:p>
      <w:pPr>
        <w:pStyle w:val="Heading2"/>
      </w:pPr>
      <w:r>
        <w:t xml:space="preserve">4. Kết Quả</w:t>
      </w:r>
    </w:p>
    <w:bookmarkStart w:id="35" w:name="thống-kê-mô-tả-và-tương-quan"/>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5"/>
    <w:bookmarkStart w:id="36"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+1,316 (p &lt; ,001) và β₂ = −1,810 (p &lt; ,001), nhất quán với hình chữ U ngược. Theo Haans, Pieters và He (2016), cả bốn điều kiện chính thức cho hình chữ U ngược thực sự đều thỏa mãn trong M2: (C1) β₁ = +1,316 (p &lt; ,001), xác nhận nhánh lên dương tính; (C2) β₂ = −1,810 (p &lt; ,001), xác nhận độ lõm; (C3) điểm ngưỡng TP* ≈ 36,4% nằm trong phạm vi quan sát FSTS [0%, 100%]; và (C4) hiệu ứng biên của quốc tế hóa là dương tính tại ranh giới dữ liệu thấp hơn (FSTS ≈ 0%, độ dốc ≈ +1,32) và âm tính tại ranh giới trên (FSTS ≈ 100%, độ dốc ≈ −2,30), với các dấu ngược chiều được xác nhận bởi kiểm định u Lind–Mehlum (2010) (p chung &lt; ,001). Hình chữ U ngược vẫn có ý nghĩa khi thêm biến kiểm soát (M3: TP = 33,8%, LM p &lt; ,001) và khi FE quốc gia-năm hấp thụ toàn bộ không đồng nhất quốc gia không quan sát được biến thiên theo thời gian (M5: TP = 40,0%, LM p &lt; ,001, adjR² = ,677). Sự nhất quán của điểm ngưỡng qua M2, M3 và M5 — dao động từ 33,8% đến 40,0%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khoảng 36% cường độ doanh số nước ngoài.</w:t>
      </w:r>
    </w:p>
    <w:bookmarkEnd w:id="36"/>
    <w:bookmarkStart w:id="37"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+0,321, p &lt; ,001) nâng adjR² từ ,015 lên ,024. Mô hình tương tác M7 thêm FSTS×TCI và FSTS²×TCI. Kết quả cho thấy:</w:t>
      </w:r>
    </w:p>
    <w:p>
      <w:pPr>
        <w:numPr>
          <w:ilvl w:val="0"/>
          <w:numId w:val="1002"/>
        </w:numPr>
        <w:pStyle w:val="Compact"/>
      </w:pPr>
      <w:r>
        <w:t xml:space="preserve">Tác động chính TCI: β = +0,344 (p &lt; ,001) — TCI cao hơn nâng cao hiệu quả cơ sở</w:t>
      </w:r>
    </w:p>
    <w:p>
      <w:pPr>
        <w:numPr>
          <w:ilvl w:val="0"/>
          <w:numId w:val="1002"/>
        </w:numPr>
        <w:pStyle w:val="Compact"/>
      </w:pPr>
      <w:r>
        <w:t xml:space="preserve">FSTS×TCI: β = −0,144 (NS) — tương tác nhánh lên không có ý nghĩa thống kê</w:t>
      </w:r>
    </w:p>
    <w:p>
      <w:pPr>
        <w:numPr>
          <w:ilvl w:val="0"/>
          <w:numId w:val="1002"/>
        </w:numPr>
        <w:pStyle w:val="Compact"/>
      </w:pPr>
      <w:r>
        <w:t xml:space="preserve">FSTS²×TCI: β = −0,137 (NS trong M7; vẫn NS trong M8, p = ,129)</w:t>
      </w:r>
    </w:p>
    <w:p>
      <w:pPr>
        <w:pStyle w:val="FirstParagraph"/>
      </w:pPr>
      <w:r>
        <w:t xml:space="preserve">Kiểm định F chung cho hai số hạng tương tác TCI không có ý nghĩa thống kê qua M7–M9. Hình chữ U ngược vẫn được xác nhận trong M7 (TP = 33,9%, LM p &lt; ,001). Tăng một độ lệch chuẩn TCI nâng năng suất lao động lên exp(0,344) − 1 ≈ 41%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7"/>
    <w:bookmarkStart w:id="38"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+0,155, p &lt; ,001), nhất quán với phần bù hiệu quả khoảng 17% cho các doanh nghiệp hoạt động số (exp(0,155) − 1 ≈ 17%). Đáng chú ý là cả hai số hạng tương tác DAI đều có ý nghĩa thống kê trong M8: FSTS×DAI = −0,614 (p &lt; ,001,</w:t>
      </w:r>
      <w:r>
        <w:t xml:space="preserve"> </w:t>
      </w:r>
      <w:r>
        <w:rPr>
          <w:bCs/>
          <w:b/>
          <w:iCs/>
          <w:i/>
        </w:rPr>
        <w:t xml:space="preserve">) và FSTS²×DAI = +0,766 (p = ,001,</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−0,780 (p &lt; ,001,</w:t>
      </w:r>
      <w:r>
        <w:rPr>
          <w:iCs/>
          <w:i/>
        </w:rPr>
        <w:t xml:space="preserve"> </w:t>
      </w:r>
      <w:r>
        <w:rPr>
          <w:bCs/>
          <w:b/>
        </w:rPr>
        <w:t xml:space="preserve">) và FSTS²×DAI = +0,994 (p &lt; ,001,</w:t>
      </w:r>
      <w:r>
        <w:rPr>
          <w:bCs/>
          <w:b/>
        </w:rPr>
        <w:t xml:space="preserve"> </w:t>
      </w:r>
      <w:r>
        <w:t xml:space="preserve">*). Hình chữ U ngược được duy trì trong cả hai đặc tả (M8: TP = 33,8%; M9: TP = 36,1%).</w:t>
      </w:r>
    </w:p>
    <w:p>
      <w:pPr>
        <w:pStyle w:val="BodyText"/>
      </w:pPr>
      <w:r>
        <w:rPr>
          <w:bCs/>
          <w:b/>
        </w:rPr>
        <w:t xml:space="preserve">H3 được ủng hộ.</w:t>
      </w:r>
      <w:r>
        <w:t xml:space="preserve"> </w:t>
      </w:r>
      <w:r>
        <w:t xml:space="preserve">DAI nâng cao hiệu quả doanh nghiệp khoảng 16%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8"/>
    <w:bookmarkStart w:id="39"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+0,007, p = ,026) và nhà quản lý nữ cấp cao (β = +0,185, p &lt; ,001) đều nâng cao hiệu quả doanh nghiệp độc lập với FSTS trong M9. Hiệu ứng kinh nghiệm ngụ ý khoảng 0,7% năng suất lao động cao hơn trên mỗi năm kinh nghiệm ngành bổ sung; hiệu ứng nhà quản lý nữ cấp cao ngụ ý khoảng 20% phần bù hiệu quả (exp(0,185) − 1 ≈ 20%). Tương tác FSTS×kinh_nghiệm_nhà_quản_lý không có ý nghĩa thống kê trong M9 (β = −0,012, p = ,133), nhưng đạt p = ,053 trong M11 (β = −0,019, †)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39"/>
    <w:bookmarkStart w:id="40"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+0,763, p &lt; ,001) cho thấy — khi kiểm soát TCI, DAI và đặc điểm doanh nghiệp — mỗi bậc tiến lên thang đo ICRV (từ Nhóm I đến Nhóm VI, tức từ thể chế mạnh hơn đến yếu hơn) tương quan với mức năng suất lao động cao hơn khoảng 115% (exp(0,763)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+1,762, p &lt; ,001) và FSTS²×ICRV (β = −2,746, p &lt; ,001). Điều này cho thấy độ dốc lên của đường cong I–P dốc hơn ở các nền kinh tế thể chế yếu hơn (nhóm ICRV cao hơn), nhưng độ dốc xuống cũng vậy —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 Đổi mới tiên tiến), điểm ngưỡng ước tính là khoảng 28%; với Nhóm V–VI (Frontier/SIDS — Tiên phong/Quốc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0"/>
    <w:bookmarkStart w:id="41" w:name="điều-tiết-ba-chiều-đầy-đủ-h7-p7"/>
    <w:p>
      <w:pPr>
        <w:pStyle w:val="Heading3"/>
      </w:pPr>
      <w:r>
        <w:t xml:space="preserve">4.7 Điều Tiết Ba Chiều Đầy Đủ (H7-P7)</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34,6%, LM p = ,002), thiết lập rằng hình chữ U ngược giữ vững ngay cả trong đặc tả đòi hỏi nhất. Tương tác DAI×ICRV (β = +0,060, p = ,012, *) có ý nghĩa thống kê, nhất quán với dự đoán CDCM rằng năng lực số cung cấp hiệu ứng hiệu quả mạnh hơn trên mỗi đơn vị trong môi trường thể chế yếu hơn. Số hạng ba chiều FSTS×DAI×ICRV (β = −0,001,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H7-P7 (tương tác ba chiều) không được xác nhận;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p>
      <w:r>
        <w:pict>
          <v:rect style="width:0;height:1.5pt" o:hralign="center" o:hrstd="t" o:hr="t"/>
        </w:pict>
      </w:r>
    </w:p>
    <w:bookmarkEnd w:id="41"/>
    <w:bookmarkEnd w:id="42"/>
    <w:bookmarkStart w:id="48" w:name="thảo-luận"/>
    <w:p>
      <w:pPr>
        <w:pStyle w:val="Heading2"/>
      </w:pPr>
      <w:r>
        <w:t xml:space="preserve">5. Thảo Luận</w:t>
      </w:r>
    </w:p>
    <w:bookmarkStart w:id="43" w:name="Xbca7393d1dccf37b24923e17b97f7f766e76c8b"/>
    <w:p>
      <w:pPr>
        <w:pStyle w:val="Heading3"/>
      </w:pPr>
      <w:r>
        <w:t xml:space="preserve">5.1 Giải Quyết Tính Không Đồng Nhất Qua Các Nghiên Cứu</w:t>
      </w:r>
    </w:p>
    <w:p>
      <w:pPr>
        <w:pStyle w:val="FirstParagraph"/>
      </w:pPr>
      <w:r>
        <w:t xml:space="preserve">Phát hiện trung tâm — hình chữ U ngược với điểm ngưỡng khoảng 36% cường độ doanh số nước ngoài, vững trên 49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3"/>
    <w:bookmarkStart w:id="44" w:name="Xcf35da8639c9a7ca5df7fc006bb821baef68043"/>
    <w:p>
      <w:pPr>
        <w:pStyle w:val="Heading3"/>
      </w:pPr>
      <w:r>
        <w:t xml:space="preserve">5.2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4"/>
    <w:bookmarkStart w:id="45" w:name="áp-dụng-số-và-tính-bổ-sung-thể-chế"/>
    <w:p>
      <w:pPr>
        <w:pStyle w:val="Heading3"/>
      </w:pPr>
      <w:r>
        <w:t xml:space="preserve">5.3 Áp Dụng Số và Tính Bổ Sung Thể Chế</w:t>
      </w:r>
    </w:p>
    <w:p>
      <w:pPr>
        <w:pStyle w:val="FirstParagraph"/>
      </w:pPr>
      <w:r>
        <w:t xml:space="preserve">Việc tái tạo đường cong bổ sung năng lực tìm thấy cho DAI trong M9 — và tương tác DAI×ICRV có ý nghĩa thống kê (β = +0,060, p = ,012)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5"/>
    <w:bookmarkStart w:id="46" w:name="tính-không-đồng-nhất-quản-lý"/>
    <w:p>
      <w:pPr>
        <w:pStyle w:val="Heading3"/>
      </w:pPr>
      <w:r>
        <w:t xml:space="preserve">5.4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6"/>
    <w:bookmarkStart w:id="47" w:name="hạn-chế"/>
    <w:p>
      <w:pPr>
        <w:pStyle w:val="Heading3"/>
      </w:pPr>
      <w:r>
        <w:t xml:space="preserve">5.5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nhận thấy rằng mối quan hệ I–P hình chữ U ngược giữ vững một cách vững chắc trên mẫu WBES 49 nền kinh tế, 102 đợt, với điểm ngưỡng khoảng 36% cường độ doanh số nước ngoài. Ba kết luận liên quan đến chính sách. Thứ nhất, đối với các doanh nghiệp trong giai đoạn lên (FSTS &lt; 36%), tăng cường quốc tế hóa giúp tăng năng suất; ưu tiên là loại bỏ các rào cản mở rộng xuất khẩu. Đối với các doanh nghiệp vượt qua điểm ngưỡng, ràng buộc không phải là tiếp cận thị trường mà là năng lực phối hợp. Thứ hai, xây dựng năng lực công nghệ nâng cao mức hiệu quả ở tất cả các mức FSTS mà không tái tạo đáng tin cậy đường cong; chính sách nên nhắm vào xây dựng năng lực như một đòn bẩy hiệu quả cơ sở hơn là can thiệp dịch chuyển đường cong. Thứ ba, áp dụng số vừa là nhân tố nâng cao hiệu quả phổ quát vừa là nhân tố tái tạo đường cong chính: DAI nén lợi nhuận nhánh lên và giảm nhẹ suy giảm hiệu quả nhánh xuống, với lợi nhuận mạnh hơn trong môi trường thể chế yếu hơn (DAI×ICRV, p = ,012).</w:t>
      </w:r>
    </w:p>
    <w:p>
      <w:pPr>
        <w:pStyle w:val="BodyText"/>
      </w:pPr>
      <w:r>
        <w:t xml:space="preserve">Bối cảnh chính sách ngắn hạn tăng thêm sự cấp bách cho các phát hiện này. Dữ liệu giám sát vĩ mô của Ngân hàng Thế giới (2026b) đối với Việt Nam — nền kinh tế Nhóm IV ICRV lớn nhất trong mẫu — cho thấy PMI sản xuất giảm xuống 45,3 (thu hẹp) vào tháng 3/2026 khi đơn đặt hàng xuất khẩu mới sụp đổ sau khi mở cuộc điều tra của đại diện thương mại Mỹ; nhập khẩu hàng hóa đã tăng 27,8% so với cùng kỳ năm trước trong cùng tháng, một phần do gián đoạn chuỗi cung ứng năng lượng từ xung đột eo biển Hormuz. Những điều kiện này chính xác là những điều kiện mà phía phải của hình chữ U ngược trở nên quan trọng: các doanh nghiệp bị đẩy trên mức FSTS tối ưu của họ bởi các cam kết xuất khẩu trước đó đối mặt với áp lực phối hợp và chi phí đầu vào khuếch đại. Kết quả điều tiết ICRV — rằng các doanh nghiệp Nhóm IV phải đối mặt với hình phạt nhánh xuống dốc hơn — ngụ ý rằng các nhà xuất khẩu Việt Nam hiện tại trên điểm ngưỡng FSTS 36% là những doanh nghiệp bị phơi bày nhiều nhất trước các cú sốc vĩ mô. Các chính sách thúc đẩy áp dụng năng lực số (DAI) có thể đệm đỡ sự suy giảm này bằng cách nén nhánh xuống, nhất quán với các ước lượng M8/M9 của chúng tôi.</w:t>
      </w:r>
    </w:p>
    <w:p>
      <w:pPr>
        <w:pStyle w:val="BodyText"/>
      </w:pPr>
      <w:r>
        <w:t xml:space="preserve">Nghiên cứu tương lai nên tận dụng các chiều bảng đang phát triển của WBES để thiết lập quan hệ nhân quả, và kết hợp các thước đo năng lực số Tầng 3–4 (áp dụng AI, điện toán đám mây, tham gia nền tảng) khi các mục này trở nên có sẵn trong các đợt WBES 2025+.</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0"/>
    <w:bookmarkStart w:id="51"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34,6%, LM p = ,002): DAI×ICRV = +0,060</w:t>
      </w:r>
      <w:r>
        <w:rPr>
          <w:iCs/>
          <w:i/>
        </w:rPr>
        <w:t xml:space="preserve">, ba chiều FSTS×DAI×ICRV = −0,001 (NS), mgr_experience = +0,009</w:t>
      </w:r>
      <w:r>
        <w:rPr>
          <w:bCs/>
          <w:b/>
          <w:iCs/>
          <w:i/>
        </w:rPr>
        <w:t xml:space="preserve">, FSTS×mgr = −0,019†, mgr_female = +0,187</w:t>
      </w:r>
      <w:r>
        <w:t xml:space="preserve">, female_owner = +0,128**.</w:t>
      </w:r>
    </w:p>
    <w:p>
      <w:r>
        <w:pict>
          <v:rect style="width:0;height:1.5pt" o:hralign="center" o:hrstd="t" o:hr="t"/>
        </w:pict>
      </w:r>
    </w:p>
    <w:bookmarkEnd w:id="51"/>
    <w:bookmarkStart w:id="52"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2"/>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2026-05-25T09:03:16Z</dcterms:created>
  <dcterms:modified xsi:type="dcterms:W3CDTF">2026-05-25T09:03:16Z</dcterms:modified>
</cp:coreProperties>
</file>

<file path=docProps/custom.xml><?xml version="1.0" encoding="utf-8"?>
<Properties xmlns="http://schemas.openxmlformats.org/officeDocument/2006/custom-properties" xmlns:vt="http://schemas.openxmlformats.org/officeDocument/2006/docPropsVTypes"/>
</file>