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traces how technological capability and foundational digital adoption relate to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 an export-participation cliff —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 how</w:t>
      </w:r>
      <w:r>
        <w:t xml:space="preserve"> </w:t>
      </w:r>
      <w:r>
        <w:t xml:space="preserve">pooled digital effects can mask substantial temporal heterogeneity. On this evidence,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w:t>
      </w:r>
    </w:p>
    <w:p>
      <w:pPr>
        <w:pStyle w:val="BodyText"/>
      </w:pPr>
      <w:r>
        <w:t xml:space="preserve">Digital tools can reduce</w:t>
      </w:r>
    </w:p>
    <w:p>
      <w:pPr>
        <w:pStyle w:val="BodyText"/>
      </w:pPr>
      <w:r>
        <w:t xml:space="preserve">communication frictions, speed transactions, and support cross-border coordination, but the benefits do not arrive automatically. Their realised value depends on whether a firm holds</w:t>
      </w:r>
      <w:r>
        <w:t xml:space="preserve"> </w:t>
      </w:r>
      <w:r>
        <w:t xml:space="preserve">the organisational depth, absorptive capacity, and complementary routines needed to convert</w:t>
      </w:r>
      <w:r>
        <w:t xml:space="preserve"> </w:t>
      </w:r>
      <w:r>
        <w:t xml:space="preserve">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lifecycle reading of digital internationalisation. The evidence points to digital capability as neither a universally stable premium nor a uniformly ineffective resource; it is an uneven, stage-dependent source of performance heterogeneity — which helps explain how pooled average effects coexist with substantial wave-specific differences.</w:t>
      </w:r>
    </w:p>
    <w:p>
      <w:pPr>
        <w:pStyle w:val="BodyText"/>
      </w:pPr>
      <w:r>
        <w:t xml:space="preserve">A final, contextual contribution is that Vietnam's empirical pattern provides a participation-and-intensity decomposition showing that the robustly identified inverted-U (turning point 39–46 % FSTS) is driven primarily by the participation margin — an</w:t>
      </w:r>
      <w:r>
        <w:t xml:space="preserve"> </w:t>
      </w:r>
      <w:r>
        <w:rPr>
          <w:iCs/>
          <w:i/>
        </w:rPr>
        <w:t xml:space="preserve">Export Cliff Effect</w:t>
      </w:r>
      <w:r>
        <w:t xml:space="preserve"> </w:t>
      </w:r>
      <w:r>
        <w:t xml:space="preserve">at the export-entry threshold: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Section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Section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Section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Section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Section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Section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(Section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(Section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Section 4.5 density check), and the bulk of mass lies at FSTS = 0. When we re-fit M2 / M7 / M8 on</w:t>
      </w:r>
      <w:r>
        <w:t xml:space="preserve"> </w:t>
      </w:r>
      <w:r>
        <w:t xml:space="preserve">the exporter-only sub-sample (FSTS &gt; 0; pooled N = 669, Section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section-45-robustness"/>
    <w:p>
      <w:pPr>
        <w:pStyle w:val="Heading3"/>
      </w:pPr>
      <w:r>
        <w:t xml:space="preserve">Section 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Section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Section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Section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findings carry one central implication: foundational digital adoption in Vietnam should</w:t>
      </w:r>
      <w:r>
        <w:t xml:space="preserve"> </w:t>
      </w:r>
      <w:r>
        <w:t xml:space="preserve">not be read as a universal, temporally stable productivity premium.</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Website-based digital adoption, then, is no constant background</w:t>
      </w:r>
      <w:r>
        <w:t xml:space="preserve"> </w:t>
      </w:r>
      <w:r>
        <w:t xml:space="preserve">advantage; it is a context-sensitive,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keeping foreign-technology / standards capability apart from foundational digital adoption. The PSM and IV evidence in Section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Section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Section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Within-firm change over</w:t>
      </w:r>
      <w:r>
        <w:t xml:space="preserve"> </w:t>
      </w:r>
      <w:r>
        <w:t xml:space="preserve">time cannot be identified, nor can time-invariant unobserved heterogeneity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 The Paternoster et al. (1998)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distinguishing foreign-technology / standards capability from foundational digital adoption and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are not interchangeable. Technological capability is comparatively stable and identification-robust across specifications, whereas foundational digital adoption is more wave-sensitive and shows within-sample detectable moderation only in 2023. The broader implication follows: in a transitional economy the productivity relevance</w:t>
      </w:r>
      <w:r>
        <w:t xml:space="preserve"> </w:t>
      </w:r>
      <w:r>
        <w:t xml:space="preserve">of basic digital adoption is real but uneven, and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2026-05-26T08:50:27Z</dcterms:created>
  <dcterms:modified xsi:type="dcterms:W3CDTF">2026-05-26T08:50:27Z</dcterms:modified>
</cp:coreProperties>
</file>

<file path=docProps/custom.xml><?xml version="1.0" encoding="utf-8"?>
<Properties xmlns="http://schemas.openxmlformats.org/officeDocument/2006/custom-properties" xmlns:vt="http://schemas.openxmlformats.org/officeDocument/2006/docPropsVTypes"/>
</file>