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42a74b80c8ce65e4379d43e7b0fe0896451213c"/>
    <w:p>
      <w:pPr>
        <w:pStyle w:val="Heading1"/>
      </w:pPr>
      <w:r>
        <w:t xml:space="preserve">Mối quan hệ giữa cường độ xuất khẩu và hiệu quả hoạt động kinh doanh của doanh nghiệp tư nhân Trung Quốc: Góc nhìn về tính bền vững của ngưỡng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APJM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 U-shape) giữa cường độ xuất khẩu và hiệu quả hoạt động kinh doanh của doanh nghiệp ở các doanh nghiệp tư nhân Trung Quốc có</w:t>
      </w:r>
      <w:r>
        <w:t xml:space="preserve"> </w:t>
      </w:r>
      <w:r>
        <w:rPr>
          <w:bCs/>
          <w:b/>
        </w:rPr>
        <w:t xml:space="preserve">bền vững về mặt cấu trúc hay chỉ đặc thù theo đợt khảo sát</w:t>
      </w:r>
      <w:r>
        <w:t xml:space="preserve">, đồng thời làm rõ vai trò của năng lực công nghệ (Technological Capability Index, TCI) và áp dụng công nghệ số (Digital Adoption Index, DAI) nền tảng trong việc hình thành mối quan hệ này.</w:t>
      </w:r>
    </w:p>
    <w:p>
      <w:pPr>
        <w:pStyle w:val="BodyText"/>
      </w:pPr>
      <w:r>
        <w:rPr>
          <w:bCs/>
          <w:b/>
        </w:rPr>
        <w:t xml:space="preserve">Thiết kế / phương pháp luận / cách tiếp cận.</w:t>
      </w:r>
      <w:r>
        <w:t xml:space="preserve"> </w:t>
      </w:r>
      <w:r>
        <w:t xml:space="preserve">Sử dụng dữ liệu vi mô từ Khảo sát Doanh nghiệp của Ngân hàng Thế giới (World Bank Enterprise Survey, WBES) cho Trung Quốc (2012, N = 2.610; 2024, N = 1.934; gộp chung N = 4.544), nghiên cứu ước lượng các mô hình bậc hai có đầy đủ tương tác chéo đợt khảo sát và tương tác với năng lực. Dữ liệu ủng hộ</w:t>
      </w:r>
      <w:r>
        <w:t xml:space="preserve"> </w:t>
      </w:r>
      <w:r>
        <w:rPr>
          <w:bCs/>
          <w:b/>
        </w:rPr>
        <w:t xml:space="preserve">giả thuyết H2b (tính bền vững cấu trúc — structural durability)</w:t>
      </w:r>
      <w:r>
        <w:t xml:space="preserve"> </w:t>
      </w:r>
      <w:r>
        <w:t xml:space="preserve">so với</w:t>
      </w:r>
      <w:r>
        <w:t xml:space="preserve"> </w:t>
      </w:r>
      <w:r>
        <w:rPr>
          <w:bCs/>
          <w:b/>
        </w:rPr>
        <w:t xml:space="preserve">H2a (dịch chuyển môi trường — environmental shift)</w:t>
      </w:r>
      <w:r>
        <w:t xml:space="preserve">: các kiểm định z Paternoster (1998) chéo đợt khảo sát không bác bỏ tính bằng nhau của hệ số tuyến tính và hệ số bậc hai của cường độ xuất khẩu (FSTS z = +0,82, p = 0,412;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0,545), và kiểm định F liên hợp gộp chung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F(2, 3.558) = 2,24, p = 0,107.</w:t>
      </w:r>
    </w:p>
    <w:p>
      <w:pPr>
        <w:pStyle w:val="BodyText"/>
      </w:pPr>
      <w:r>
        <w:rPr>
          <w:bCs/>
          <w:b/>
        </w:rPr>
        <w:t xml:space="preserve">Kết quả nghiên cứu.</w:t>
      </w:r>
      <w:r>
        <w:t xml:space="preserve"> </w:t>
      </w:r>
      <w:r>
        <w:t xml:space="preserve">Các điểm ngoặt (turning point) ước lượng nằm trong một khoảng rất hẹp: 49,4 % tổng doanh thu năm 2012, 47,2 % năm 2024 và 48,8 % trong mẫu gộp, với các khoảng tin cậy 95 % theo phương pháp delta (delta method) chồng lấn nhau. Năng lực công nghệ có liên hệ thuận chiều mạnh mẽ với năng suất ở cả hai đợt khảo sát (β_z = +0,28 năm 2012 và +0,43 năm 2024; cả hai đều p &lt; 0,001), và một biến đại diện hiện diện số đơn mục (sở hữu website riêng) có liên hệ thuận chiều với năng suất năm 2024 và mẫu gộp (β_z = +0,07, p = 0,04 năm 2024; β_z = +0,06, p = 0,006 mẫu gộp). Tuy nhiên, không cấu trúc nào trong hai cấu trúc này điều tiết một cách bền vững độ cong của chữ U ngược: kiểm định F liên hợp trên các tương tác năng lực × độ cong (F = 3,26, p = 0,039) chỉ ở mức biên, các hệ số riêng lẻ không có ý nghĩa thống kê, và kiểm định điều tiết động ba chiều năng lực × đợt khảo sát × độ cong cho F = 0,27, p = 0,760.</w:t>
      </w:r>
    </w:p>
    <w:p>
      <w:pPr>
        <w:pStyle w:val="BodyText"/>
      </w:pPr>
      <w:r>
        <w:rPr>
          <w:bCs/>
          <w:b/>
        </w:rPr>
        <w:t xml:space="preserve">Tính mới / đóng góp.</w:t>
      </w:r>
      <w:r>
        <w:t xml:space="preserve"> </w:t>
      </w:r>
      <w:r>
        <w:rPr>
          <w:bCs/>
          <w:b/>
        </w:rPr>
        <w:t xml:space="preserve">Giả thuyết H2b (tính bền vững cấu trúc) được khẳng định so với H2a (dịch chuyển môi trường)</w:t>
      </w:r>
      <w:r>
        <w:t xml:space="preserve">: bất chấp sự thay đổi cấu trúc đáng kể tại Trung Quốc giữa năm 2012 và 2024, các kiểm định chéo đợt khảo sát ủng hộ luận điểm rằng đánh đổi quốc tế hoá–hiệu quả tại Trung Quốc là</w:t>
      </w:r>
      <w:r>
        <w:t xml:space="preserve"> </w:t>
      </w:r>
      <w:r>
        <w:rPr>
          <w:bCs/>
          <w:b/>
        </w:rPr>
        <w:t xml:space="preserve">bền vững về mặt cấu trúc hơn là đặc thù theo đợt khảo sát hay phụ thuộc vào năng lực</w:t>
      </w:r>
      <w:r>
        <w:t xml:space="preserve">. Đóng góp này tái định khung ngưỡng chữ U ngược từ một quy luật đặc thù của mẫu thành một đặc trưng cấu trúc bền vững của bối cảnh nghiên cứu — trên thực tế là một</w:t>
      </w:r>
      <w:r>
        <w:t xml:space="preserve"> </w:t>
      </w:r>
      <w:r>
        <w:rPr>
          <w:bCs/>
          <w:b/>
        </w:rPr>
        <w:t xml:space="preserve">hằng số sinh tồn (survival constant)</w:t>
      </w:r>
      <w:r>
        <w:t xml:space="preserve"> </w:t>
      </w:r>
      <w:r>
        <w:t xml:space="preserve">của doanh nghiệp tư nhân Trung Quốc, với</w:t>
      </w:r>
      <w:r>
        <w:t xml:space="preserve"> </w:t>
      </w:r>
      <w:r>
        <w:rPr>
          <w:bCs/>
          <w:b/>
        </w:rPr>
        <w:t xml:space="preserve">quá nhúng cấu trúc (structural over-embeddedness)</w:t>
      </w:r>
      <w:r>
        <w:t xml:space="preserve"> </w:t>
      </w:r>
      <w:r>
        <w:t xml:space="preserve">vào chuỗi giá trị toàn cầu là cơ chế ứng viên (kênh vốn lưu động được thăm dò nhưng chưa nhận dạng ổn định); các kết quả null về điều tiết độ cong theo năng lực củng cố cách diễn giải về tính bền vững. Phát hiện này cũng mở rộng đường cong tham chiếu bậc ba đặc thù Trung Quốc của Author Citation (2026, JFAR) và tổng hợp đa quốc gia châu Á mới nổi của Author Citation (2026, VEFR) bằng cách bổ sung chiều ổn định theo thời gian.</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trên phạm vi nền kinh tế: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của doanh nghiệp vẫn là một trong những câu hỏi bền vững nhất trong nghiên cứu kinh doanh quốc tế. Tài liệu thực nghiệm đáng kể, bao gồm một số phân tích tổng hợp (meta-analysis) trải dài nhiều thập kỷ và bối cảnh quốc gia, hiện ủng hộ một dạng phi tuyến hình chữ U ngược: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 ICBEF). Một câu hỏi khắt khe hơn, và cũng là câu hỏi mà nghiên cứu này theo đuổi, là liệu điểm ngoặt ngụ ý có phải là</w:t>
      </w:r>
      <w:r>
        <w:t xml:space="preserve"> </w:t>
      </w:r>
      <w:r>
        <w:rPr>
          <w:iCs/>
          <w:i/>
        </w:rPr>
        <w:t xml:space="preserve">một đặc trưng cấu trúc bền vững</w:t>
      </w:r>
      <w:r>
        <w:t xml:space="preserve"> </w:t>
      </w:r>
      <w:r>
        <w:t xml:space="preserve">của một bối cảnh, hay chỉ đơn thuần là một quy luật đặc thù của mẫu, có thể tiến hoá khi điều kiện thể chế và cạnh tranh thay đổi. Mô thức "quá tốt cũng không tốt" (too-much-of-a-good-thing) hiện đã được xác lập trong nghiên cứu quản trị (Pierce &amp; Aguinis, 2013). Tuy nhiên, tính bền vững theo thời gian của nó trong một bối cảnh quốc gia đơn lẻ lại ít khi được kiểm định. Đối với các doanh nghiệp tư nhân hoạt động tại các nền kinh tế mới nổi, nơi ràng buộc tài chính chặt chẽ và chi phí biên của việc mở rộng quá mức có thể trở nên nặng nề hơn so với các tập đoàn đa quốc gia lớn, vị trí và sự ổn định của một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tại đây, nền kinh tế Trung Quốc đã trải qua sự chuyển đổi cấu trúc phi thường. Việc tái cân bằng thương mại hậu khủng hoảng tài chính 2008 được tiếp nối bởi việc Trung Quốc tham gia sâu hơn vào chuỗi giá trị toàn cầu (Kano, Tsang, &amp; Yeung, 2020), chu kỳ leo thang thuế quan Mỹ–Trung, sự đứt gãy do COVID-19 và việc tái định tuyến chuỗi cung ứng, sự trưởng thành của hạ tầng số và sự lan toả nhanh chóng của các nền tảng thương mại điện tử (Hanelt, Bohnsack, Marz, &amp; Antunes Marante, 2021; Vial, 2019), cùng các cải cách liên tục về tín dụng SME và thể chế tài trợ thương mại. Các doanh nghiệp tư nhân Trung Quốc trong mẫu WBES cũng trưởng thành qua giai đoạn này: tuổi doanh nghiệp trung bình trong các mẫu phân tích tăng từ 12,6 lên 13,9 năm, và năng suất lao động trung bình (thang log) tăng từ 12,52 lên 13,01, tương đương với mức chênh lệch năng suất khoảng 64 % (exp(0,49) ≈ 1,64). Theo lý thuyết quốc tế hoá thông thường, nhiều thay đổi này lẽ ra phải dịch chuyển điểm ngoặt của chữ U ngược, bằng cách nâng cao lợi nhuận sản xuất của quốc tế hoá ở phần đuôi trên (củng cố năng lực), làm dịu sự suy giảm sau ngưỡng (cải thiện tài trợ thương mại), hoặc cả hai. Liệu dịch chuyển dự đoán có thực sự diễn ra hay không là một câu hỏi thực nghiệm chưa được kiểm định trực tiếp cho Trung Quốc trong giai đoạn hậu khủng hoảng tài chính toàn cầu và hậu COVID.</w:t>
      </w:r>
    </w:p>
    <w:p>
      <w:pPr>
        <w:pStyle w:val="BodyText"/>
      </w:pPr>
      <w:r>
        <w:t xml:space="preserve">Trong khi Author Citation (2026 — JFAR)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một đặc trưng cấu trúc bền vững của các doanh nghiệp tư nhân Trung Quốc, hay là một sản phẩm phụ của giai đoạn lấy mẫu dịch chuyển theo điều kiện kinh tế vĩ mô giữa 2012 và 2024? Câu hỏi về tính ổn định theo thời gian này không thể được trả lời bằng một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có phạm vi ngành rộng hơn so với chỉ ngành sản xuất, để thiết lập một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như đóng góp thực nghiệm chính của bài. Bối cảnh rộng hơn cho nghiên cứu hiện tại cũng được thiết lập bởi Author Citation (2026 — VEFR), tổng hợp 17 quốc gia châu Á mới nổi ghi nhận tính không đồng nhất của các mô thức hiệu quả cấp doanh nghiệp giữa các chế độ thể chế khác nhau; bài báo hiện tại giữ cố định quốc gia và đặt câu hỏi về tính ổn định theo thời gian trong nội bộ Trung Quốc, điều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Nghiên cứu này được thúc đẩy bởi ba mối quan tâm.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một bối cảnh; do đó, việc ghi nhận hành vi chéo đợt khảo sát là một đóng góp thực nghiệm không tầm thường ngoài tuyên bố chữ U ngược chuẩn (Haans, Pieters, &amp; He, 2016). Mối quan tâm thứ hai xuất phát từ việc tài liệu IB ngày càng nhận thấy rằng sự suy giảm sau ngưỡng có thể không chỉ phản ánh chi phí phối hợp (coordination cost) chung (Hennart, 2007; Contractor, 2007) mà còn các trở ngại tài chính cụ thể hơn, như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Sau cùng,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tái cân bằng thương mại hậu 2008, chu kỳ leo thang thuế quan Mỹ–Trung, sự đứt gãy do COVID-19, sự trưởng thành của hạ tầng số (Author Citation, 2026 —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sự tiến hoá của các thể chế tài trợ thương mại, có khả năng làm phẳng đoạn suy giảm sau ngưỡng hoặc đẩy điểm ngoặt sang phải (Manova, 2013; Demir &amp; Javorcik, 2018). Theo các khuyến nghị gần đây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nghiên cứu này định khung các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một mô hình bậc hai cơ sở cho mỗi đợt khảo sát và mẫu gộp, áp dụng kiểm định U Lind &amp; Mehlum (2010) để xác minh hình chữ U ngược một cách chính thức, và áp dụng kiểm định z Paternoster, Brame, Mazerolle, và Piquero (1998) trên các hệ số tuyến tính và bậc hai của cường độ xuất khẩu để đánh giá tính bằng nhau của tham số chéo đợt khảo sát. Nghiên cứu bổ sung các kiểm định theo từng đợt khảo sát bằng một đặc tả điều tiết ba chiều gộp chung, trong đó thêm vào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một kiểm định trực tiếp bổ sung về cách diễn giải vốn lưu động (working capital) sử dụng các biến đại diện WBES cho tiếp cận thanh khoản, cấu trúc tài trợ, và trở ngại tiếp cận tài chính, với một mở rộng kiểm định độ vững riêng năm 2012 vào phơi nhiễm khoản phải thu (Manova, 2013). Xuyên suốt bài, nghiên cứu áp dụng các quy ước ngôn ngữ nhân quả có kỷ luật được khuyến nghị cho nghiên cứu kinh doanh quốc tế và báo cáo các liên hệ thay vì tác động (Antonakis et al., 2010; Shaver, 2020).</w:t>
      </w:r>
    </w:p>
    <w:p>
      <w:pPr>
        <w:pStyle w:val="BodyText"/>
      </w:pPr>
      <w:r>
        <w:t xml:space="preserve">Bài báo có bốn đóng góp. Đóng góp đầu tiên là xác định và mô tả một ngưỡng cường độ xuất khẩu tối ưu cho các doanh nghiệp tư nhân Trung Quốc ở mức khoảng 48 % tổng doanh thu, với một vùng vận hành an toàn có ý nghĩa quản trị từ 30 % đến 60 %. Điều này bổ sung cho điểm ngoặt bậc ba 47,8 % được báo cáo bởi Author Citation (2026 — JFAR) cho các SME sản xuất Trung Quốc bằng cách mở rộng phân tích sang khung doanh nghiệp tư nhân đầy đủ của WBES và sang đợt khảo sát thứ hai một thập kỷ sau. Đóng góp trung tâm của bài là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sự tiến hoá chéo đợt khảo sát, dữ liệu không bác bỏ tính bằng nhau của các hệ số chữ U ngược giữa năm 2012 và 2024 trong cả các kiểm định z Paternoster riêng lẻ và một kiểm định F gộp chung liên hợp. Ba kênh điều tiết null bổ sung (năng lực × độ cong, năng lực × đợt khảo sát × độ cong, vốn lưu động × độ cong) cùng hội tụ về một diễn giải thực chất giống nhau. Nghiên cứu còn ghi nhận rằng năng lực công nghệ hoạt động một cách bền vững như một</w:t>
      </w:r>
      <w:r>
        <w:t xml:space="preserve"> </w:t>
      </w:r>
      <w:r>
        <w:rPr>
          <w:iCs/>
          <w:i/>
        </w:rPr>
        <w:t xml:space="preserve">yếu tố dịch chuyển mức</w:t>
      </w:r>
      <w:r>
        <w:t xml:space="preserve"> </w:t>
      </w:r>
      <w:r>
        <w:t xml:space="preserve">của năng suất chứ không phải là một yếu tố điều tiết độ cong của ngưỡng, phân biệt vai trò chiến lược của năng lực với vai trò điều tiết được phỏng đoán trong đánh đổi I–P. Bài báo cũng đóng góp vào câu đố meta-analytic rộng hơn trong IB bằng cách cho thấy rằng tính ổn định theo thời gian trong cùng quốc gia nhất quán với việc bối cảnh thể chế đa quốc gia, thay vì sự tiến hoá nội bộ quốc gia, là nguồn chính của tính không đồng nhất về độ lớn hiệu ứng được báo cáo trong các tổng quan trước đây (Marano et al., 2016; Schwens et al., 2018; Filatotchev, Wei, Sarala, Dick, &amp; Prescott, 2020; Author Citation, 2025 — ICBEF). Phát hiện này trực tiếp giải quyết sự hoài nghi của Pisani, Garcia-Bernardo, và Heemskerk (2020, SMJ), những người đã chứng minh rằng mối quan hệ chữ U ngược yếu đi hoặc biến mất dưới các cách tiếp cận nhận dạng nghiêm ngặt hơn trong các mẫu gộp đa quốc gia. Kết quả về tính ổn định theo thời gian trong cùng quốc gia ở đây gợi ý rằng các bối cảnh thể chế đơn quốc gia có thể bảo toàn tính đều đặn về dạng hàm mà các mẫu đa quốc gia che lấp thông qua tính không đồng nhất gộp. Nghiên cứu này cũng đề xuất một cách diễn giải bẫy vốn lưu động cho sự suy giảm sau ngưỡng (Manova, 2013) như một cơ sở lý thuyết nhưng chưa được nhận dạng trực tiếp trong dữ liệu, và đánh dấu việc kiểm định trực tiếp với các mục WBES k4–k14 là một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của doanh nghiệp ít có khả năng là tuyến tính đối với các doanh nghiệp tư nhân nhỏ hơn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doanh nghiệp khai thác đầy đủ hơn các năng lực sản xuất hiện có trên nhiều thị trường nước ngoài (Lu &amp; Beamish, 2004). Đối với các doanh nghiệp nhỏ hơn, việc tham gia thị trường nước ngoài cũng có thể kích thích học hỏi, làm sắc nét kỷ luật chất lượng, và đa dạng hoá nguồn doanh thu vượt ra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với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về cách phối hợp các giao dịch xuyên biên giới, với lợi nhuận tăng miễn là năng lực quản trị của doanh nghiệp tăng theo (Hennart, 2007; Contractor, 2007). Truyền thống năng lực động bổ sung rằng các nhà xuất khẩu phát triển các quy trình bậc cao hơn để cảm nhận, nắm bắt và tái cấu hình các cơ hội thị trường nước ngoài (Teece, 2007), và các quy trình này gia tăng lợi nhuận ở mức phơi nhiễm quốc tế trung bình.</w:t>
      </w:r>
    </w:p>
    <w:p>
      <w:pPr>
        <w:pStyle w:val="BodyText"/>
      </w:pPr>
      <w:r>
        <w:t xml:space="preserve">Tuy nhiên,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liên quan đến việc phục vụ các thị trường bên ngoài một cách bền vững (Hennart, 2007; Contractor, 2007). Các chi phí này đặc biệt có hệ quả đối với các doanh nghiệp tư nhân nhỏ hơn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một mối quan hệ hình chữ U ngược ở các doanh nghiệp sản xuất khu vực Đồng bằng sông Dương Tử. Bằng chứng meta-analytic đa quốc gia còn cho thấy chữ U ngược là một mô thức bền vững nhưng với độ phân tán đáng kể về vị trí điểm ngoặt giữa các nghiên cứu (Marano et al., 2016; Schwens et al., 2018),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được đo bằng tỉ trọng doanh thu nước ngoài trong tổng doanh thu. Theo cách vận hành hoá này, quốc tế hoá lẽ ra phải cải thiện hiệu quả hoạt động kinh doanh của doanh nghiệp đến một mức nào đó, nhưng hiệu quả nên suy giảm khi cường độ xuất khẩu trở nên quá lớn so với năng lực vận hành và tài chính của doanh nghiệp. Kỳ vọng phù hợp do đó không phải là một tác động dương đơn điệu, mà là một liên hệ hình chữ U ngược, một mô thức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một câu hỏi khắt khe hơn là liệu điểm ngoặt ước lượng có</w:t>
      </w:r>
      <w:r>
        <w:t xml:space="preserve"> </w:t>
      </w:r>
      <w:r>
        <w:rPr>
          <w:bCs/>
          <w:b/>
        </w:rPr>
        <w:t xml:space="preserve">ổn định theo thời gian</w:t>
      </w:r>
      <w:r>
        <w:t xml:space="preserve"> </w:t>
      </w:r>
      <w:r>
        <w:t xml:space="preserve">(Haans, Pieters, &amp; He, 2016; Pierce &amp; Aguinis, 2013) hay không. Một liên hệ phi tuyến quan sát được trong một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với bối cảnh quốc gia và ngành là một trong những yếu tố điều tiết mạnh nhất của độ lớn hiệu ứng (Marano et al., 2016; Schwens et al., 2018). Vì lý do đó, việc xác định một chữ U ngược chỉ là bước đầu tiên;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một bối cảnh quốc gia hay không (Eden &amp; Nielsen, 2020).</w:t>
      </w:r>
    </w:p>
    <w:p>
      <w:pPr>
        <w:pStyle w:val="BodyText"/>
      </w:pPr>
      <w:r>
        <w:t xml:space="preserve">Cửa sổ 2012–2024 ở Trung Quốc trải qua sự thay đổi cấu trúc đáng kể: tái cân bằng thương mại hậu 2008, chu kỳ leo thang thuế quan Mỹ–Trung, sự đứt gãy do COVID-19, sự trưởng thành của hạ tầng số (Author Citation, 2026 —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việc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sự hỗ trợ thể chế đang phát triển, bao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Cùng với nhau, các cơ chế này thúc đẩy một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sự thay đổi thể chế liên tục trong thị trường tín dụng SME và tài trợ thương mại của Trung Quốc trong giai đoạn này. Trong chừng mực các cải cách thể chế đó đã thành công trong việc nới lỏng ràng buộc vốn lưu động mà truyền thống Manova (2013) và Foley và Manova (2015) dự đoán là nguồn gốc của sự suy giảm sau ngưỡng,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với 0) so với năm 2012, một dự đoán có thể kiểm định trực tiếp. Ngược lại, nếu các ràng buộc sâu hơn so với khả năng nắm bắt của các biến đại diện WBES, hoặc nếu các cải cách đến với doanh nghiệp một cách không đều, chúng ta sẽ quan sát thấy ít hoặc không có thay đổi độ cong. Cả hai kết quả đều mang tính thông tin; chúng tôi chỉ trích dẫn các chương trình cải cách cụ thể với các nguồn trích dẫn chính khi các phản biện chuyên môn xác định các tài liệu thể chế phù hợp nhất cho tạp chí mục tiêu.</w:t>
      </w:r>
    </w:p>
    <w:p>
      <w:pPr>
        <w:pStyle w:val="BodyText"/>
      </w:pPr>
      <w:r>
        <w:t xml:space="preserve">Các cơ chế này thúc đẩy một dự đoán định hướng H2a về dịch chuyển chéo đợt khảo sát. Tuy nhiên, một phản biện cũng có lý không kém, được chúng tôi chính thức hoá thành H2b, cho rằng ngưỡng chữ U ngược phản ánh các ràng buộc sâu ở cấp doanh nghiệp chứ không phải các điều kiện thể chế đặc thù theo thời gian. Nếu sự suy giảm sau ngưỡng được thúc đẩy chủ yếu bởi năng lực phối hợp, khoảng đệm tài chính, và chiều sâu tổ chức (Hennart, 2007; Buckley et al., 2007), các đặc điểm cấu trúc chỉ thay đổi chậm ở cấp doanh nghiệp, thì ngay cả cải cách thể chế có ý nghĩa cũng có thể không đủ để dịch chuyển điểm ngoặt một cách đo lường được trong vòng một thập kỷ. Chi phí ma sát trong các giao dịch xuyên biên giới (tính phức tạp của hợp đồng, chậm thanh toán, tuân thủ quy định) thể hiện sự khoá thể chế đáng kể (North, 1990) và có thể chỉ được nới lỏng một phần bởi các cải cách tài chính cấp vĩ mô trong một giai đoạn giữa các đợt khảo sát. Theo H2b, dữ liệu được kỳ vọng sẽ không cho thấy dịch chuyển có ý nghĩa thống kê về vị trí hoặc độ cong của chữ U ngược, một kết quả tạo thành một phát hiện tích cực về tính bền vững cấu trúc thay vì một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hình chữ U ngược giữa cường độ xuất khẩu và hiệu quả hoạt động kinh doanh của doanh nghiệp ở các doanh nghiệp tư nhân Trung Quốc khác biệt giữa hai đợt khảo sát 2012 và 2024,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hình chữ U ngược giữa cường độ xuất khẩu và hiệu quả hoạt động kinh doanh của doanh nghiệp ở các doanh nghiệp tư nhân Trung Quốc bền vững về mặt cấu trúc qua hai đợt khảo sát 2012 và 2024,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các mức quốc tế hoá rất cao, được biểu đạt ở đây thông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đặc biệt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những tác động trực tiếp, có thể đo lường được đối với khối lượng và rủi ro của các giao dịch xuyên biên giới, đặc biệt trong các cú sốc kinh tế vĩ mô (Demir &amp; Javorcik, 2018). Khi cường độ xuất khẩu tăng lên, khoảng cách này trở nên có hệ quả hơn vì một tỉ trọng lớn hơn của hoạt động doanh nghiệp gắn liền với các giao dịch có động lực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mà thông qua đó đoạn âm của đường cong có thể xuất hiện. Các doanh nghiệp với khả năng tiếp cận thanh khoản yếu hơn, phơi nhiễm khoản phải thu nặng hơn, hoặc phụ thuộc nhiều hơn vào vốn lưu động được tài trợ nội bộ sẽ ít có khả năng duy trì cường độ xuất khẩu rất cao mà không bị xói mòn hiệu quả. Ngược lại, các doanh nghiệp với hỗ trợ tài chính ngắn hạn mạnh hơn, bao gồm các công cụ thấu chi, hạn mức tín dụng chính thức, hoặc các thoả thuận vốn lưu động được tài trợ bởi ngân hàng, sẽ ở vị thế tốt hơn để hấp thụ các nhu cầu thanh khoản liên quan đến mức độ tham gia xuất khẩu sâu hơn. Do đó, dự đoán định hướng là độ dốc của sự suy giảm sau ngưỡng nên phụ thuộc vào vị thế vốn lưu động của doanh nghiệp: các doanh nghiệp giàu thanh khoản nên thể hiện đuôi sau ngưỡng phẳng hơn so với các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sự suy giảm sau ngưỡng. Tuy nhiên, do tính so sánh chéo đợt khảo sát hạn chế của các biến đại diện WBES sẵn có, đặc biệt là sự thiếu vắng các chỉ báo phơi nhiễm khoản phải thu tốt nhất (k1c, k2c) trong bản phát hành 2024, kênh này không được chính thức hoá thành một giả thuyết có thể kiểm định trong bài báo hiện tại. Các phân tích vốn lưu động bổ sung được báo cáo trong Phần 4.5 khảo sát cơ chế này một cách mô tả, và lập luận lý thuyết được mang theo trong phần Thảo luận (Phần 5.2) như là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bằng công nghệ được cấp phép từ nước ngoài, chứng nhận chất lượng được quốc tế công nhận, đổi mới sản phẩm, và hoạt động R&amp;D, nên có liên hệ thuận chiều với hiệu quả hoạt động kinh doanh của doanh nghiệp vì các doanh nghiệp với kho năng lực mạnh hơn hiệu quả hơn trong việc chuyển hoạt động xuất khẩu thành đầu ra sản xuất (Cohen &amp; Levinthal, 1990). Ở các mức cường độ xuất khẩu cao hơn, năng lực công nghệ cũng có thể điều tiết độ cong của mối quan hệ bằng cách giảm bớt chi phí phối hợp và mở rộng quá mức vốn thúc đẩy sự suy giảm sau ngưỡng (Teece, 2007). Logic cơ sở vi mô cho điều tiết độ cong là các doanh nghiệp với năng lực hấp thụ sâu hơn có thể xử lý kiến thức bên ngoài hiệu quả hơn và điều chỉnh các quy trình nội bộ để quản lý tính phức tạp phối hợp mà cường độ xuất khẩu cao kéo theo, khiến chi phí biên của việc quốc tế hoá tiếp tục tăng chậm hơn so với các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một cơ chế trọng điểm trong tài liệu gần đây về chuyển đổi số (Bharadwaj et al., 2013; Vial, 2019; Nambisan, Wright, &amp; Feldman, 2019; Verhoef et al., 2021; Hanelt, Bohnsack, Marz, &amp; Antunes Marante, 2021; Volberda, Khanagha, Baden-Fuller, Mihalache, &amp; Birkinshaw, 2021). Nó có thể cải thiện hiệu quả hoạt động kinh doanh của doanh nghiệp nói chung bằng cách giảm chi phí giao dịch, đẩy nhanh dòng thông tin, và cho phép giám sát hiệu quả hơn các hoạt động. Các động lực phụ thuộc năng lực cũng có thể</w:t>
      </w:r>
      <w:r>
        <w:t xml:space="preserve"> </w:t>
      </w:r>
      <w:r>
        <w:rPr>
          <w:iCs/>
          <w:i/>
        </w:rPr>
        <w:t xml:space="preserve">tiến hoá theo thời gian</w:t>
      </w:r>
      <w:r>
        <w:t xml:space="preserve">: khi các doanh nghiệp Trung Quốc tích luỹ các nguồn lực số và công nghệ, hiệu ứng đệm của năng lực đối với sự suy giảm sau ngưỡng có thể trở nên mạnh hơn giữa năm 2012 và 2024, tạo ra một tương tác giữa năng lực doanh nghiệp và đợt khảo sát (Author Citation, 2026 — VEFR). Dự đoán điều tiết động này có thể kiểm định trực tiếp thông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các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thông qua bốn chỉ báo nhị phân (công nghệ được cấp phép từ nước ngoài, chứng nhận chất lượng, đổi mới sản phẩm, hoạt động R&amp;D), trong khi</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 VEFR), và cả hai đều thô so với hệ thống phân cấp chuyển đổi số phong phú được lý thuyết hoá trong truyền thống Bharadwaj–Verhoef–Hanelt. Do đó, các giả thuyết của chúng tôi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mà mỗi cấu trúc đóng trong phân tích. Mối quan hệ quốc tế hoá–hiệu quả được nắm bắt bởi hai hạng FSTS (tuyến tính và bậc hai) chảy vào năng suất lao động dạng log, với H1 dự đoán độ cong chữ U ngược. Wave2024 được thêm vào như một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một khối nét đứt, một phân tích định hướng cơ chế mang tính khảo sát (Phần 4.5) thay vì một giả thuyết chính thức. Bài báo hiện tại xem kênh vốn lưu động như một yếu tố điều kiện có cơ sở lý thuyết cho sự suy giảm sau ngưỡng mà việc nhận dạng trực tiếp đợi dữ liệu vi mô tài chính phong phú hơn. Năng lực công nghệ (H4a) đi vào mô hình như một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một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một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Sau khi loại bỏ theo dòng (listwise deletion) trên tập biến trọng tâm (doanh thu, lao động, cường độ xuất khẩu) và xử lý các mã không phản hồi WBES −9 và −7 như giá trị thiếu (cùng với mã từ chối bổ sung −8 năm 2024), các mẫu phân tích là 2.619 doanh nghiệp năm 2012, 1.940 doanh nghiệp năm 2024, và 4.559 quan sát doanh nghiệp–năm trong mẫu gộp.</w:t>
      </w:r>
    </w:p>
    <w:p>
      <w:pPr>
        <w:pStyle w:val="BodyText"/>
      </w:pPr>
      <w:r>
        <w:t xml:space="preserve">Mẫu phân tích được rút ra từ khung doanh nghiệp tư nhân WBES rộng hơn cho Trung Quốc thay vì một mẫu phụ chỉ thuộc ngành sản xuất; các doanh nghiệp thuộc dịch vụ, bán lẻ, công nghệ thông tin, và xây dựng được đưa vào cùng với ngành sản xuất vì chiến lược nhận dạng của bản thảo phụ thuộc vào khung doanh nghiệp tư nhân WBES đầy đủ trong đó kết quả ngưỡng được ước lượng. Chúng tôi kiểm soát thành phần ngành thông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2.610; 2024, N = 1.934; gộp, N = 4.544)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 chữ U ngược) thay vì đặc tả bậc ba được báo cáo trong phân tích SME sản xuất đồng hành (Author Citation, 2026 —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trong nội bộ doanh nghiệp được giới thiệu bởi 217 quan sát panel. Ở những nơi chữ U ngược là vấn đề, chúng tôi áp dụng kiểm định U Lind &amp; Mehlum (2010) trên phạm vi [0, 1] của FSTS, báo cáo khoảng tin cậy 95 % theo phương pháp delta cho điểm ngoặt (Haans, Pieters, &amp; He, 2016). Khác biệt hệ số chéo đợt khảo sát được đánh giá thông qua kiểm định z Paternoster et al. (1998), z = (β_A − β_B) / √(SE_A² + SE_B²), với giá trị p hai phía từ phân phối chuẩn; kiểm định z Paternoster trên các hệ số riêng lẻ được bổ sung bởi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chúng tôi mô tả các kết quả như các liên hệ thay vì các tác động, nhất quán với các giới hạn suy luận của dữ liệu mặt cắt ngang lặp lại: trong sự vắng mặt của cấu trúc panel nội bộ doanh nghiệp, chúng tôi không thể nhận dạng các tác động nhân quả trong nội bộ doanh nghiệp, mà chỉ có thể nhận dạng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làm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Vì các chỉ báo WBES sẵn có không cung cấp một thước đo trực tiếp duy nhất cho bẫy vốn lưu động, phân tích dựa trên nhiều biến đại diện ở cấp doanh nghiệp được tổ chức thành ba khối chéo đợt khảo sát được mô tả trong Phần 3.2 (Tiếp cận thanh khoản, Cấu trúc tài trợ, Trở ngại tiếp cận tài chính). Các khối này được kiểm định ở cấp mục (đặc tả M1), ở cấp khối thông qua Chỉ số Tiếp cận Thanh khoản (M3), thông qua một chỉ số căng thẳng vốn lưu động hợp thành (M4), và cuối cùng cho khối Phơi nhiễm Khoản phải thu chỉ năm 2012 (mua / bán trên tín dụng). Các đặc tả bổ sung duy trì cấu trúc bậc hai cơ sở và giới thiệu mỗi thước đo vốn lưu động cùng với tương tác của nó với hạng cường độ xuất khẩu bậc hai; tham số trọng tâm là tương tác giữa hạng cường độ xuất khẩu bậc hai và thước đo vốn lưu động, vì lập luận lý thuyết liên quan đến độ dốc của sự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hạng năng lực công nghệ và áp dụng công nghệ số được sử dụng chủ yếu để đánh giá các dịch chuyển mức và để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(H2a so với H2b), giả thuyết điều tiết theo năng lực mặt cắt ngang (thành phần độ cong H4a/H4b), và giả thuyết điều tiết động phụ thuộc năng lực được giới thiệu trong Phần 2.4 trong một khung nội nhất quán duy nhất, chúng tôi ước lượng đặc tả gộp sau trên mẫu liên hợp các doanh nghiệp báo cáo tất cả các biến trọng tâm (sample_full, N = 3.559). Tập con sample_full nhỏ hơn mẫu gộp tập trọng tâm (N = 4.559 được báo cáo trong Phần 3.1) vì các đặc tả điều tiết ba chiều yêu cầu các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3.559) phản ánh các doanh nghiệp báo cáo các mục xuất khẩu và năng suất trọng tâm nhưng không phản hồi tất cả bốn mục năng lực; các thống kê mô tả có thể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một cách đã biết; ước lượng có trọng số sử dụng trọng số lấy mẫu đủ điều kiện trung vị WBES (</w:t>
      </w:r>
      <w:r>
        <w:rPr>
          <w:rStyle w:val="VerbatimChar"/>
        </w:rPr>
        <w:t xml:space="preserve">wmedian</w:t>
      </w:r>
      <w:r>
        <w:t xml:space="preserve">) được xác định là một ưu tiên cho lần sửa đổi tiếp theo (xem Phần 4.7) và có khả thi về mặt tính toán từ các biến trọng số WBES.</w:t>
      </w:r>
    </w:p>
    <w:p>
      <w:pPr>
        <w:pStyle w:val="BodyText"/>
      </w:pPr>
      <w:r>
        <w:t xml:space="preserve">Thứ hai,</w:t>
      </w:r>
      <w:r>
        <w:t xml:space="preserve"> </w:t>
      </w:r>
      <w:r>
        <w:rPr>
          <w:bCs/>
          <w:b/>
        </w:rPr>
        <w:t xml:space="preserve">vấn đề doanh nghiệp panel</w:t>
      </w:r>
      <w:r>
        <w:t xml:space="preserve">, 217 doanh nghiệp trong đợt khảo sát 2024 được phỏng vấn lại từ năm 2012, được giải quyết thông qua sai số chuẩn vững theo cụm trên định danh doanh nghiệp</w:t>
      </w:r>
      <w:r>
        <w:t xml:space="preserve"> </w:t>
      </w:r>
      <w:r>
        <w:rPr>
          <w:rStyle w:val="VerbatimChar"/>
        </w:rPr>
        <w:t xml:space="preserve">idstd</w:t>
      </w:r>
      <w:r>
        <w:t xml:space="preserve">. Độc lập với điều chỉnh SE, chúng tôi đã tái ước lượng các đặc tả gộp loại trừ 217 doanh nghiệp panel (cho ra một mẫu gộp hoàn toàn mặt cắt ngang với N = 4.358 sample_base; 186 trong số 217 doanh nghiệp panel xuất hiện trong sample_base sau khi áp dụng bộ lọc biến trọng tâm); ước lượng điểm ngoặt gộp kết quả dịch chuyển từ 48,78 % sang 46,88 %, một thay đổi 1,9 điểm phần trăm nằm trong khoảng tin cậy 95 % theo phương pháp delta của ước lượng chính, và các kiểm định z Paternoster giữ nguyên hướng và mô thức ý nghĩa như trong mẫu gộp chính (xem Phần 4.7). Chúng tôi xem điều chỉnh cụm vững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số 2.700 (97,0 %) doanh nghiệp năm 2012 và 1.940 trong số 2.189 (88,6 %) doanh nghiệp năm 2024 báo cáo một giá trị cường độ xuất khẩu trực tiếp (</w:t>
      </w:r>
      <w:r>
        <w:rPr>
          <w:rStyle w:val="VerbatimChar"/>
        </w:rPr>
        <w:t xml:space="preserve">d3c</w:t>
      </w:r>
      <w:r>
        <w:t xml:space="preserve">) không thiếu và vượt qua bộ lọc loại bỏ theo dòng trên tập biến kiểm soát trọng tâm. Tỉ lệ thiếu cao hơn một chút trong năm 2024 phản ánh mã từ chối</w:t>
      </w:r>
      <w:r>
        <w:t xml:space="preserve"> </w:t>
      </w:r>
      <w:r>
        <w:rPr>
          <w:rStyle w:val="VerbatimChar"/>
        </w:rPr>
        <w:t xml:space="preserve">−8</w:t>
      </w:r>
      <w:r>
        <w:t xml:space="preserve"> </w:t>
      </w:r>
      <w:r>
        <w:t xml:space="preserve">riêng biệt của bảng câu hỏi BREADY 2024 (được sử dụng bởi một số người trả lời để bỏ qua các mục tài chính nhạy cảm). Chúng tôi khảo sát liệu việc lựa chọn vào mẫu phân tích có liên quan một cách hệ thống đến các đặc điểm doanh nghiệp hay không bằng cách ước lượng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về mặt thống kê năm 2024 (z = −0,14, p = 0,89). Kết quả 2012 cho thấy đặc tả OLS trên đợt khảo sát 2012 có thể chịu lựa chọn nhẹ trên các biến không quan sát được; do đó, chúng tôi tái ước lượng M2 trên đợt khảo sát 2012 với IMR được đưa vào như một biến kiểm soát trong kiểm định độ vững Phần 4.7 và thấy rằng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sự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là 12,52 (SD 1,19) và cường độ xuất khẩu trung bình là 6,9 % (SD 20,4 %), với 15,4 % doanh nghiệp báo cáo bất kỳ cường độ xuất khẩu trực tiếp dương nào. Đợt 2024 (N = 1.934) cho thấy năng suất lao động dạng log trung bình là 13,01 (SD 1,35), một dịch chuyển mức tăng khoảng nửa điểm log, nhất quán với tăng trưởng năng suất chung giữa các đợt khảo sát, và cường độ xuất khẩu trung bình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sự chuyển dịch trong mẫu WBES về phía các cơ sở nhỏ hơn trong đợt khảo sát 2024; tuổi doanh nghiệp trung bình tăng từ 12,6 lên 13,9 năm, phản ánh sự trưởng thành của nhóm doanh nghiệp tư nhân xuất khẩu Trung Quốc qua cửa sổ 12 năm. Tỉ lệ sở hữu nước ngoài là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 / 0,51 bị phình to mà chúng tôi đã ghi nhận dưới đặc tả DAI hai mục trước đây vốn chia sẻ e6 với TCI; tương quan dư phản ánh sự cùng biến thiên thực chất giữa năng lực công nghệ và hiện diện số Tầng 1 chứ không phải sự chồng lấp mục một cách máy móc, và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một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và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đều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đời thường: tại điểm ngoặt đặc thù đợt khảo sát, ln(LP) dự đoán cao hơn khoảng 0,51 điểm log (2012) và 0,35 điểm log (2024) so với mức cơ sở FSTS = 0, tức là tương ứng 67 % và 42 % chênh lệch năng suất ở mức kiểm soát trung bình hình học. Ngược lại, tại FSTS = 1 (một nhà xuất khẩu 100 % giả định), ln(LP) dự đoán xấp xỉ ngang bằng với mức cơ sở FSTS = 0 trong cả hai đợt khảo sát, minh hoạ logic tối ưu có giới hạn nằm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của doanh nghiệp trong cả hai đợt khảo sát và mẫu gộp, hỗ trợ thành phần dịch chuyển mức của H4a. Hệ số TCI được chuẩn hoá theo z trong cùng đợt khảo sát là β_z = +0,260 năm 2012 (SE = 0,049, p &lt; 0,001), β_z = +0,426 năm 2024 (SE = 0,047, p &lt; 0,001), và β_z = +0,380 trong mẫu gộp (SE = 0,035, p &lt; 0,001). Do đó, mỗi mức tăng một độ lệch chuẩn của TCI có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năm 2012 và 2024, nhất quán với logic năng lực hấp thụ rằng việc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một cách khiêm tốn (β_z = +0,05 đến +0,13, p ≤ 0,03), nhất quán với vai trò của nó như một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nhưng không có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có hệ số tương tác TCI hoặc DAI riêng lẻ nào đạt p &lt; 0,05 trong bất kỳ đặc tả đặc thù đợt khảo sát nào. Các tương tác DAI × FSTS được kiểm định cho tính đầy đủ nhưng được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chúng tôi diễn giải thành phần điều tiết độ cong của H4a là</w:t>
      </w:r>
      <w:r>
        <w:t xml:space="preserve"> </w:t>
      </w:r>
      <w:r>
        <w:rPr>
          <w:bCs/>
          <w:b/>
        </w:rPr>
        <w:t xml:space="preserve">không được hỗ trợ một cách bền vững</w:t>
      </w:r>
      <w:r>
        <w:t xml:space="preserve">: trong khi kiểm định F liên hợp gợi ý một số điều tiết gộp, mô thức hệ số riêng lẻ và tính không ổn định theo từng đợt khảo sát gợi ý rằng TCI hoạt động chủ yếu như một</w:t>
      </w:r>
      <w:r>
        <w:t xml:space="preserve"> </w:t>
      </w:r>
      <w:r>
        <w:rPr>
          <w:bCs/>
          <w:b/>
        </w:rPr>
        <w:t xml:space="preserve">yếu tố dịch chuyển mức</w:t>
      </w:r>
      <w:r>
        <w:t xml:space="preserve"> </w:t>
      </w:r>
      <w:r>
        <w:t xml:space="preserve">thay vì một yếu tố điều tiết độ cong.</w:t>
      </w:r>
    </w:p>
    <w:p>
      <w:pPr>
        <w:pStyle w:val="BodyText"/>
      </w:pPr>
      <w:r>
        <w:t xml:space="preserve">Giả thuyết điều tiết động, rằng các dịch chuyển độ cong phụ thuộc năng lực tiến hoá theo thời gian, được kiểm định thông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và cho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tiếp đến xem xét liệu các điều kiện vốn lưu động ở cấp doanh nghiệp có giúp giải thích biến thiên về độ dốc của sự suy giảm sau ngưỡng (H3) hay không. Các kiểm định vốn lưu động bổ sung không cho ra sự hỗ trợ đủ vững qua các định nghĩa biến đại diện khác nhau và các mô hình đặc thù đợt khảo sát. Mặc dù một số hệ số di chuyển theo các hướng có lý về mặt lý thuyết, mô thức không đủ ổn định để hỗ trợ một tuyên bố mạnh rằng sự suy giảm sau ngưỡng đã được nhận dạng trực tiếp như một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nhất quán với, nhưng không xác nhận, một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sự suy giảm sau ngưỡng trong dữ liệu hiện tại. Việc nhận dạng trực tiếp cơ chế vốn lưu động đòi hỏi dữ liệu vi mô tài chính, chẳng hạn như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một hạng dịch chuyển mức trực tiếp (β_z = +0,05 đến +0,13, p ≤ 0,03 qua các đợt khảo sát và mẫu gộp), nhưng các kiểm định điều tiết độ cong DAI × FSTS cho ra kết quả null trong tất cả các đặc tả, nhất quán với việc hiện diện số hoạt động như một yếu tố nâng sàn năng suất thay vì một yếu tố dịch chuyển ngưỡng. Điều này được xác nhận về mặt định hướng trong phân tích SME sản xuất đồng hành (Author Citation, 2026 — JFAR), nơi kiểm định F độ cong DDC × FSTS cho p = 0,89,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(tất cả doanh nghiệp tư nhân so với chỉ ngành sản xuất) và các cách vận hành hoá DAI khác nhau, củng cố điểm về độ nhạy đo lường được thiết lập trong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một mục hiện diện website nhị phân đơn lẻ (c22b) hoạt động như một yếu tố vệ sinh tổ chức tại Trung Quốc năm 2024; cấu trúc đồng hành JFAR cũng tương tự thô về năng lực phân biệt cho đợt khảo sát sản xuất 2012. Cả hai phân tích đều hội tụ về cùng một cách diễn giải thực chất: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một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 JFAR) báo cáo rằng sự hiện diện của quản lý nữ không điều tiết độ cong I–P (quản lý nữ × FSTS β = 0,003, p = 0,892), cho thấy ngưỡng chữ U ngược bất biến về mặt cấu trúc với thành phần giới tính của lãnh đạo doanh nghiệp. Kết quả null này là một phát hiện tích cực mang thông tin: nó loại trừ các ưu tiên rủi ro quản trị và phong cách phối hợp liên kết với giới tính như các giải thích cho lý do vị trí ngưỡng đặt ở vị trí đó.</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một cách diễn giải duy nhất:</w:t>
      </w:r>
      <w:r>
        <w:t xml:space="preserve"> </w:t>
      </w:r>
      <w:r>
        <w:rPr>
          <w:bCs/>
          <w:b/>
        </w:rPr>
        <w:t xml:space="preserve">sự suy giảm sau ngưỡng phản ánh các ràng buộc cấu trúc sâu trong năng lực phối hợp và thanh khoản tài chính, không phải vốn con người hay năng lực số của các doanh nghiệp cụ thể</w:t>
      </w:r>
      <w:r>
        <w:t xml:space="preserve">. Cơ chế nhất quán về mặt lý thuyết nhất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sự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được xác định trong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Chúng tôi báo cáo kiểm định độ vững này chủ yếu vì sự minh bạch: phân tích chính của bản thảo theo khung doanh nghiệp tư nhân WBES đầy đủ vì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một nghiên cứu về</w:t>
      </w:r>
      <w:r>
        <w:t xml:space="preserve"> </w:t>
      </w:r>
      <w:r>
        <w:rPr>
          <w:bCs/>
          <w:b/>
        </w:rPr>
        <w:t xml:space="preserve">tính bền vững cấu trúc trước một dịch chuyển thời gian được kỳ vọng</w:t>
      </w:r>
      <w:r>
        <w:t xml:space="preserve">. Nghiên cứu này đã dự đoán trong H2a (Phần 2.2) rằng mối quan hệ hình chữ U ngược giữa cường độ xuất khẩu và năng suất lao động trong các doanh nghiệp tư nhân Trung Quốc sẽ khác biệt giữa năm 2012 và 2024, được thúc đẩy bởi sự thay đổi cấu trúc đáng kể trong nền kinh tế Trung Quốc: tái cân bằng thương mại hậu 2008, chu kỳ leo thang thuế quan Mỹ–Trung, đứt gãy do COVID-19, sự trưởng thành của hạ tầng số (Vial, 2019; Hanelt, Bohnsack, Marz, &amp; Antunes Marante, 2021), củng cố năng lực hấp thụ, sự tham gia ngày càng sâu của các doanh nghiệp Trung Quốc vào chuỗi giá trị toàn cầu (Kano, Tsang, &amp; Yeung, 2020), và sự tiến hoá của các thể chế tài trợ thương mại (Author Citation, 2026 —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sự tiến hoá thể chế, và chuyển đổi công nghệ mà không dịch chuyển một cách đo lường được về hình dạng, độ dốc, hoặc vị trí. Tính bền vững này có ý nghĩa cả về mặt lý thuyết lẫn quản trị. Về mặt lý thuyết, nó gợi ý rằng chữ U ngược bắt nguồn từ các ràng buộc cấu trúc sâu ở cấp doanh nghiệp (năng lực phối hợp, khoảng đệm tài chính, chiều sâu tổ chức) thay vì từ các điều kiện thể chế hoặc cạnh tranh đặc thù theo thời gian vốn có thể tan biến khi môi trường thay đổi (Hennart, 2007; Buckley et al., 2007). Về mặt quản trị, các khoảng tin cậy rộng và chồng lấn trên các ước lượng điểm ngoặt cho thấy không nên xem bất kỳ con số đơn lẻ nào như một mục tiêu cực kỳ chính xác. Đại lượng có liên quan đến chính sách là một</w:t>
      </w:r>
      <w:r>
        <w:t xml:space="preserve"> </w:t>
      </w:r>
      <w:r>
        <w:rPr>
          <w:iCs/>
          <w:i/>
        </w:rPr>
        <w:t xml:space="preserve">phạm vi vận hành có giới hạn</w:t>
      </w:r>
      <w:r>
        <w:t xml:space="preserve">, khoảng 30 % đến 60 % tổng doanh thu, trong đó năng suất dự đoán vẫn gần đỉnh, và trong đó doanh nghiệp có thể chủ động về chiến lược mà không rơi vào phần đuôi xói mòn năng suất của đường cong.</w:t>
      </w:r>
    </w:p>
    <w:p>
      <w:pPr>
        <w:pStyle w:val="BodyText"/>
      </w:pPr>
      <w:r>
        <w:t xml:space="preserve">Các kết quả điều tiết phụ thuộc năng lực hội tụ về cùng kết luận về tính bền vững. Nghiên cứu này đã giả thuyết trong H4a/H4b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và DAI cho thấy các dịch chuyển mức dương khiêm tốn (β_z = +0,05 đến +0,13, p ≤ 0,03 qua các đợt khảo sát và mẫu gộp). Nhưng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một câu chuyện. Bất chấp nhiều kỳ vọng định hướng có lý (Manova, 2013; Foley và Manova, 2015), bằng chứng điều tiết chéo đợt khảo sát lại phân mảnh qua các biến đại diện và các đợt khảo sát. Một số hệ số di chuyển theo các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nhưng mô thức rộng hơn quá không nhất quán qua các khối và các đợt khảo sát để hỗ trợ một suy luận mạnh hơn. Nghiên cứu này giữ cách diễn giải vốn lưu động như một giải thích có cơ sở lý thuyết thay vì như một kênh thực nghiệm được thiết lập trực tiếp, đồng thời xác định rõ việc tích hợp dữ liệu vi mô tài chính phong phú hơn (chu kỳ chuyển đổi tiền mặt, số ngày khoản phải thu chưa thanh toán, định giá tài trợ thương mại) là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trở nên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một cách đo lường được bởi đợt khảo sát, biến đại diện tài chính, hoặc kho năng lực.</w:t>
      </w:r>
      <w:r>
        <w:t xml:space="preserve"> </w:t>
      </w:r>
      <w:r>
        <w:t xml:space="preserve">Đây là một tuyên bố thực nghiệm mạnh hơn so với những gì tài liệu chữ U ngược chuẩn cung cấp, và nó trực tiếp giải quyết câu hỏi về tính không đồng nhất được nêu ra trong tài liệu meta-analytic về quốc tế hoá–hiệu quả rộng hơn (Author Citation, 2025, ICBEF; Bausch &amp; Krist, 2007; Kirca et al., 2012; Marano et al., 2016; Schwens et al., 2018), cụ thể là, tính không đồng nhất rất lớn giữa các nghiên cứu (I² ≈ 88 %) được báo cáo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sau và thấy nó nhỏ, nhất quán với một cách diễn giải trong đó bối cảnh thể chế (Filatotchev, Wei, Sarala, Dick, &amp; Prescott, 2020) thúc đẩy nhiều sự phân tán độ lớn hiệu ứng quan sát được hơn so với sự tiến hoá trong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sự suy giảm sau ngưỡng với các ràng buộc tài chính, chúng tôi đã kiểm định các biến đại diện vốn lưu động có sẵn trong công cụ WBES. Các chỉ báo có thể so sánh chéo đợt khảo sát, công cụ thấu chi (k7), hạn mức tín dụng (k8 / k82), tỉ trọng cấu trúc tài trợ (chuỗi k3), và điểm trở ngại tiếp cận tài chính (k30), đã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xét liệu độ dốc của đuôi sau ngưỡng có được điều kiện hoá bởi thanh khoản doanh nghiệp hay không. Tuy nhiên, do những thay đổi trong thiết kế bảng câu hỏi giữa hai đợt khảo sát, các chỉ báo được thu thập không đạt được tính nhất quán cần thiết cho suy luận kết luận: các tương tác Khối A thay đổi dấu qua các đợt khảo sát, Khối C đạt ý nghĩa trong năm 2012 nhưng không trong năm 2024, và bất thường Khối D trong năm 2024 đọc như một sản phẩm phụ của ô nhỏ. Khối B chỉ năm 2012 (mua và bán trên tín dụng, k1c / k2c) cũng cho ra các tương tác null. Tổng hợp lại, các phân tích bổ sung này nhất quán với cách diễn giải bẫy vốn lưu động (Manova, 2013) như một cơ chế nhất quán về mặt lý thuyết cho sự suy giảm sau ngưỡng, nhưng các biến đại diện WBES hiện tại không đủ chính xác để nhận dạng kênh này một cách trực tiếp. Cần có công việc tương lai với dữ liệu báo cáo tài chính ở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 Vấn đề chiến lược về mở rộng xuất khẩu nên được định khung như một</w:t>
      </w:r>
      <w:r>
        <w:t xml:space="preserve"> </w:t>
      </w:r>
      <w:r>
        <w:rPr>
          <w:iCs/>
          <w:i/>
        </w:rPr>
        <w:t xml:space="preserve">tối ưu có giới hạn</w:t>
      </w:r>
      <w:r>
        <w:t xml:space="preserve"> </w:t>
      </w:r>
      <w:r>
        <w:t xml:space="preserve">thay vì một mục tiêu tăng trưởng không bị ràng buộc. Việc vượt qua vùng cường độ xuất khẩu tối ưu, mà dữ liệu hiện tại định vị ở mức khoảng 30 % đến 60 % tổng doanh thu và không dịch chuyển trong thập kỷ qua, có liên hệ với năng suất suy giảm thay vì lợi nhuận tiếp tục tăng. Các nhà quản lý nên giám sát cường độ xuất khẩu so với phạm vi vận hành có giới hạn này và chú ý đặc biệt đến kỷ luật vận hành và tài chính cần thiết để duy trì sự phơi nhiễm xuất khẩu vượt quá nó. Tính ổn định theo thời gian của ngưỡng có nghĩa là hướng dẫn này có khả năng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t xml:space="preserve">Đầu tư vào năng lực công nghệ, được định nghĩa rộng để bao gồm cấp phép công nghệ nước ngoài, chứng nhận chất lượng, đổi mới sản phẩm, và hoạt động R&amp;D, dường như hỗ trợ một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một khoản đầu tư có thể bảo vệ về mặt chiến lược với lợi nhuận ngày càng tăng. Quan trọng nhất, bằng chứng cho thấy năng lực hoạt động như một</w:t>
      </w:r>
      <w:r>
        <w:t xml:space="preserve"> </w:t>
      </w:r>
      <w:r>
        <w:rPr>
          <w:iCs/>
          <w:i/>
        </w:rPr>
        <w:t xml:space="preserve">yếu tố dịch chuyển mức</w:t>
      </w:r>
      <w:r>
        <w:t xml:space="preserve"> </w:t>
      </w:r>
      <w:r>
        <w:t xml:space="preserve">thay vì một yếu tố điều tiết độ cong: xây dựng năng lực nâng cao năng suất một cách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rằng đầu tư năng lực sẽ đẩy ngưỡng bền vững sang phải, năng lực củng cố doanh nghiệp ở mọi mức cường độ xuất khẩu nhưng không nới lỏng ràng buộc mở rộng quá mức cấu trúc ở phần đuôi trên. Một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t xml:space="preserve">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t xml:space="preserve">Tổng quát hơn, bằng chứng ủng hộ một khung quyết định chiến lược trong đó</w:t>
      </w:r>
      <w:r>
        <w:t xml:space="preserve"> </w:t>
      </w:r>
      <w:r>
        <w:rPr>
          <w:iCs/>
          <w:i/>
        </w:rPr>
        <w:t xml:space="preserve">tính bền vững của phạm vi quốc tế hoá có giới hạn</w:t>
      </w:r>
      <w:r>
        <w:t xml:space="preserve"> </w:t>
      </w:r>
      <w:r>
        <w:t xml:space="preserve">tự nó là một tài sản quản trị. Các doanh nghiệp đưa ra các quyết định đầu tư dài hạn (gia nhập các thị trường xuất khẩu mới, mở rộng quy mô hoạt động quốc tế, xây dựng chuỗi cung ứng xuyên biên giới) có thể lập kế hoạch dựa trên một ngưỡng ổn định thay vì liên tục điều chỉnh chiến lược quốc tế hoá để phản ứng với các điều kiện đặc thù theo đợt khảo sát. Tính ổn định này có hàm ý về thiết kế tổ chức: các doanh nghiệp có thể xây dựng các năng lực vận hành quốc tế với tự tin rằng cấu trúc ngưỡng nền tảng sẽ không dịch chuyển một cách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Vấn đề thiết kế chương trình thúc đẩy xuất khẩu SME có thể nhiều hơn về</w:t>
      </w:r>
      <w:r>
        <w:t xml:space="preserve"> </w:t>
      </w:r>
      <w:r>
        <w:rPr>
          <w:iCs/>
          <w:i/>
        </w:rPr>
        <w:t xml:space="preserve">mở rộng có giới hạn</w:t>
      </w:r>
      <w:r>
        <w:t xml:space="preserve"> </w:t>
      </w:r>
      <w:r>
        <w:t xml:space="preserve">thay vì về tham vọng xuất khẩu tối đa; các chương trình thúc đẩy xuất khẩu khuyến khích cường độ xuất khẩu vượt quá phạm vi bền vững 30–60 % mà không có đầu tư song song vào hạ tầng thanh khoản và năng lực có thể có liên hệ với lợi nhuận năng suất giảm dần hoặc âm. Các chương trình được thiết kế để đẩy các doanh nghiệp vượt qua phạm vi này mà không đồng thời giải quyết các ràng buộc tài chính và vận hành thúc đẩy sự suy giảm sau ngưỡng có nguy cơ tạo ra các doanh nghiệp phơi nhiễm mà năng suất bị xói mòn bất chấp lợi ích chính sách dự kiến.</w:t>
      </w:r>
    </w:p>
    <w:p>
      <w:pPr>
        <w:pStyle w:val="BodyText"/>
      </w:pPr>
      <w:r>
        <w:t xml:space="preserve">Các cải cách thị trường tín dụng SME nhắm vào các hạn mức vốn lưu động, bao thanh toán, bảo hiểm tín dụng xuất khẩu, và tiếp cận tài trợ thương mại (Manova, 2013; Niepmann &amp; Schmidt-Eisenlohr, 2017; Demir &amp; Javorcik, 2018) đến lượt mình có thể giúp dịch chuyển ngưỡng sang phải và mở rộng vùng vận hành an toàn, nhưng bài báo hiện tại không kiểm định trực tiếp tác động chính sách này, và thực tế các phát hiện null của chúng tôi về điều tiết vốn lưu động H3 gợi ý rằng các cải cách như vậy có thể cần phải đáng kể hơn so với biến thiên được nắm bắt bởi các biến đại diện WBES hiện tại để tạo ra dịch chuyển ngưỡng có thể phát hiện được. Công việc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Sau cùng,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t xml:space="preserve">Nghiên cứu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một mô thức bền vững nhưng hiếm khi kiểm định tính ổn định theo thời gian của nó trong một bối cảnh quốc gia đơn lẻ. Phát hiện về tính bền vững của chúng tôi thiết lập rằng, ít nhất ở Trung Quốc và qua cửa sổ 2012–2024, chữ U ngược nhiều hơn là một quy luật đặc thù mẫu: nó là một đặc trưng cấu trúc bền vững của đánh đổi. Điều này bổ sung sự nhấn mạnh về tính không đồng nhất đa quốc gia của truyền thống meta-analytic bằng bằng chứng thời gian trong nội bộ quốc gia, và nó cung cấp một chuẩn cho các nghiên cứu tái lập tương lai trong các bối cảnh kinh tế mới nổi khác.</w:t>
      </w:r>
    </w:p>
    <w:p>
      <w:pPr>
        <w:pStyle w:val="BodyText"/>
      </w:pPr>
      <w:r>
        <w:t xml:space="preserve">Đóng góp thứ hai hướng tới</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t xml:space="preserve">Nghiên cứu cũng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của nó. Công việc trước đây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của chúng tôi ủng hộ vai trò dịch chuyển mức một cách mạnh mẽ qua các đợt khảo sát, nhưng thấy vai trò điều tiết độ cong yếu và không ổn định, gợi ý rằng xây dựng năng lực, tự nó, không đẩy điểm ngoặt chữ U ngược ra ngoài. Sự tinh chỉnh này có ý nghĩa về mặt lý thuyết: logic năng lực hấp thụ của Lall (1992) và Cohen và Levinthal (1990) được đọc tốt nhất như ủng hộ sự củng cố cơ sở năng suất thay vì như nới lỏng đánh đổi cấu trúc ở phần đuôi sau ngưỡng. Một doanh nghiệp với TCI cao có thể chuyển hoạt động xuất khẩu hiệu quả hơn thành đầu ra sản xuất, nhưng giới hạn trên của lợi ích hiệu quả đó tự nó bị giới hạn bởi các ràng buộc phối hợp và tài chính nền tảng mà chữ U ngược nắm bắt.</w:t>
      </w:r>
    </w:p>
    <w:p>
      <w:pPr>
        <w:pStyle w:val="BodyText"/>
      </w:pPr>
      <w:r>
        <w:t xml:space="preserve">Sau cùng, chúng tôi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(a) các ước lượng riêng theo từng đợt khảo sát với (b) các kiểm định z Paternoster trên các hệ số riêng lẻ và (c) các kiểm định F liên hợp trong các đặc tả ba chiều gộp. Sự tam giác hoá cung cấp một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một null. Quy trình báo cáo của chúng tôi có thể được áp dụng bởi các nghiên cứu tương lai kiểm định tính ổn định theo thời gian của các mối quan hệ phi tuyến trong các bối cảnh khác, và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một yếu tố dịch chuyển mức thay vì một yếu tố thay đổi độ dốc nhất quán với đường cơ sở SME sản xuất trong tài liệu đặc thù Trung Quốc (Author Citation, 2026 — JFAR), nơi điều tiết độ cong DAI cho ra một kiểm định F null (p = 0,89). Trong bối cảnh thu nhập trung bình cao của Trung Quốc, hiện diện số Tầng 1 nâng cao cơ sở năng suất một cách đồng đều nhưng không sửa đổi ràng buộc cấu trúc ở phần đuôi trên của cường độ xuất khẩu. Liệu áp dụng công nghệ số bậc cao hơn (hợp thành Tầng 1+2) có đóng vai trò phụ thuộc mạnh hơn trong các bối cảnh thể chế khác nhau hay không được để lại như một câu hỏi cho công việc tương lai nơi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 Tuyên bố tính bền vững, hơn nữa,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 Phát hiện tính ổn định ngưỡng cũng mang tính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 Sau cùng,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t xml:space="preserve">Cơ bản nhất, dữ liệu vi mô WBES là các mặt cắt ngang lặp lại chứ không phải một panel doanh nghiệp thực sự; chúng tôi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mà chúng tôi áp dụng xuyên suốt phản ánh ràng buộc này và không nên được nới lỏng trong cách diễn giải kết quả của bất kỳ người đọc nào. Do đó, phát hiện về tính bền vững cấu trúc H2b trong Phần 4.3 nên được đọc như một phát hiện về</w:t>
      </w:r>
      <w:r>
        <w:t xml:space="preserve"> </w:t>
      </w:r>
      <w:r>
        <w:rPr>
          <w:iCs/>
          <w:i/>
        </w:rPr>
        <w:t xml:space="preserve">tính tương tự cấu trúc mặt cắt ngang</w:t>
      </w:r>
      <w:r>
        <w:t xml:space="preserve"> </w:t>
      </w:r>
      <w:r>
        <w:t xml:space="preserve">qua hai mẫu lặp lại, không phải về các quỹ đạo thời gian trong nội bộ doanh nghiệp. Một thiết kế panel với cùng các doanh nghiệp được phỏng vấn lại theo thời gian sẽ cho phép các tuyên bố nội bộ doanh nghiệp mạnh hơn về việc liệu ngưỡng của một doanh nghiệp nhất định có ổn định khi năng lực và vị thế thị trường của doanh nghiệp tiến hoá hay không. 217 doanh nghiệp panel chung cho cả 2012 và 2024 là một nguồn lực chưa được khai thác đầy đủ cho mục đích này; kết hợp chúng với một đợt khảo sát 2032 tương lai (nếu WBES Trung Quốc tiếp tục mô thức mỗi thập kỷ của mình) sẽ cho ra một tập con 3 đợt khảo sát hỗ trợ ước lượng hiệu ứng cố định trong nội bộ doanh nghiệp. Chúng tôi xác định điều này là một mở rộng ưu tiên cao một khi dữ liệu trở nên có sẵn.</w:t>
      </w:r>
    </w:p>
    <w:p>
      <w:pPr>
        <w:pStyle w:val="BodyText"/>
      </w:pPr>
      <w:r>
        <w:t xml:space="preserve">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phát hành 2012 nhưng vắng mặt trong bản phát hành 2024; do đó chúng tôi không thể kiểm định kênh khoản phải thu chéo đợt khảo sát (Manova, 2013; Foley &amp; Manova, 2015; Niepmann &amp; Schmidt-Eisenlohr, 2017; Demir &amp; Javorcik, 2018). Việc xem xét trực tiếp điều kiện hoá vốn lưu động sử dụng các biến đại diện có sẵn (k7, k8 / k82, chuỗi k3, k30, cộng với k1c / k2c chỉ năm 2012) không cho ra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có nguồn từ Bureau van Dijk Orbis hoặc CSMAR China) được hợp nhất với mẫu WBES. Chúng tôi đã bắt đầu công việc sơ bộ về một hợp nhất như vậy nhưng nó nằm ngoài phạm vi của bài báo hiện tại.</w:t>
      </w:r>
    </w:p>
    <w:p>
      <w:pPr>
        <w:pStyle w:val="BodyText"/>
      </w:pPr>
      <w:r>
        <w:t xml:space="preserve">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một chỉ báo nhị phân duy nhất (hiện diện website riêng c22b), một lựa chọn có chủ ý được thực hiện trong bản sửa đổi này để giữ cho các cấu trúc năng lực công nghệ và áp dụng công nghệ số trực giao về mặt vận hành (xem Phần 3.2), nhưng một lựa chọn nhất thiết đo lường hiện diện số Tầng 1 thay vì hệ thống phân cấp chuyển đổi số đầy đủ được mô tả trong các tổng quan gần đây (Vial, 2019; Verhoef et al., 2021; Hanelt, Bohnsack, Marz, &amp; Antunes Marante, 2021; Volberda, Khanagha, Baden-Fuller, Mihalache, &amp; Birkinshaw, 2021). Một thước đo áp dụng công nghệ số phong phú hơn kết hợp tích hợp quy trình Tầng 3–4 được quản lý nhất quán qua các đợt khảo sát sẽ giúp tách bạch mô thức đặc thù đợt khảo sát được báo cáo trong Phần 4.4. Bảng câu hỏi BREADY 2024 thực sự bao gồm một số chỉ báo số phong phú hơn mà công cụ 2012 không có, ngăn cản tính so sánh chéo đợt khảo sát nghiêm ngặt cho các mục đó; chúng tôi xác định một phân tích độ vững chỉ năm 2024 sử dụng các chỉ báo phong phú hơn năm 2024 là một ưu tiên cho lần sửa đổi tiếp theo.</w:t>
      </w:r>
    </w:p>
    <w:p>
      <w:pPr>
        <w:pStyle w:val="BodyText"/>
      </w:pPr>
      <w:r>
        <w:t xml:space="preserve">Khung mẫu WBES, ngoài ra, có thể đã trôi dạt qua các đợt khảo sát, ví dụ, thông qua những thay đổi trong cân bằng sản xuất–dịch vụ hoặc trong hồ sơ FDI của các doanh nghiệp được khảo sát, và mặc dù chúng tôi kiểm soát ngành và sở hữu, chúng tôi không thể loại trừ sự trôi dạt khung mẫu dư thừa. Kiểm tra độ vững trên mẫu phụ chỉ ngành sản xuất được báo cáo trong Phần 4.6 một phần giải quyết quan ngại này bằng cách tái ước lượng mô hình ngưỡng chính M2 trên một tập con bị hạn chế theo ngành (N = 1.656 năm 2012; N = 1.062 năm 2024); kết quả vẫn nhất quán về mặt định hướng với phân tích chính nhưng với các khoảng tin cậy rộng hơn đáng kể. Các kiểm tra trôi dạt bổ sung,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t xml:space="preserve">Thiết kế hiện tại hỗ trợ một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w:t>
      </w:r>
      <w:r>
        <w:t xml:space="preserve">nhưng không phải một kiểm định mạnh về</w:t>
      </w:r>
      <w:r>
        <w:t xml:space="preserve"> </w:t>
      </w:r>
      <w:r>
        <w:rPr>
          <w:iCs/>
          <w:i/>
        </w:rPr>
        <w:t xml:space="preserve">điều tiết động phụ thuộc năng lực</w:t>
      </w:r>
      <w:r>
        <w:t xml:space="preserve">: trong khi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có thể phản ánh hoặc là sự vắng mặt thực sự của điều tiết động hoặc là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ở cấp doanh nghiệp (Nambisan, Wright, &amp; Feldman, 2019), sẽ cung cấp một kiểm định mạnh hơn. Một phân tích sức mạnh chính thức cho hiệu ứng điều tiết ba chiều được để lại cho công việc tương lai sử dụng một panel rộng hơn.</w:t>
      </w:r>
    </w:p>
    <w:p>
      <w:pPr>
        <w:pStyle w:val="BodyText"/>
      </w:pPr>
      <w:r>
        <w:t xml:space="preserve">Sau cùng, tính khả quát hoá vượt ra ngoài mẫu doanh nghiệp tư nhân Trung Quốc không được kiểm định trong bài báo này; các suy luận chúng tôi báo cáo áp dụng cho hai đợt khảo sát Trung Quốc được nghiên cứu, và bất kỳ mở rộng nào sang các bối cảnh doanh nghiệp tư nhân nền kinh tế mới nổi khác là một câu hỏi thực nghiệm cho công việc riêng biệt (Bausch &amp; Krist, 2007; Kirca, Roth, Hult, &amp; Cavusgil, 2012; Marano et al., 2016; Schwens et al., 2018; Author Citation, 2025 — ICBEF). Một bước tiếp theo tự nhiên trong dòng nghiên cứu rộng hơn của chúng tôi là tái lập đa quốc gia của kiểm định tính ổn định ngưỡng trên dữ liệu WBES cho Việt Nam, Indonesia, Ấn Độ, và các bối cảnh châu Á mới nổi khác (Author Citation, 2026 — VEFR), để thiết lập liệu cách diễn giải cấu trúc bền vững có khả quát hoá vượt ra ngoài Trung Quốc hay vẫn là một mô thức đặc thù quốc gia. Các kiểm định đa quốc gia như vậy cũng sẽ giải quyết tài liệu bối cảnh thể chế từ lâu đã nhấn mạnh các thách thức dịch chuyển đông–tây trong nghiên cứu IB (Filatotchev, Wei, Sarala, Dick, &amp; Prescott, 2020; Kano, Tsang, &amp; Yeung, 2020). Hạ tầng dữ liệu WBES được định vị độc đáo để hỗ trợ các tái lập như vậy vì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chúng tôi xác định ở đây. Sự kết hợp của kết quả tính ổn định bất ngờ với tính không đồng nhất được ghi nhận trong tài liệu quốc tế hoá–hiệu quả rộng hơn (Author Citation, 2025, ICBEF; Marano et al., 2016; Schwens et al., 2018) gợi ý rằng vị trí và hình dạng của chữ U ngược có thể nhạy cảm với bối cảnh thể chế quốc gia hơn so với thay đổi thời gian trong nội bộ quốc gia, một giả thuyết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2026-05-26T08:50:31Z</dcterms:created>
  <dcterms:modified xsi:type="dcterms:W3CDTF">2026-05-26T08:50:31Z</dcterms:modified>
</cp:coreProperties>
</file>

<file path=docProps/custom.xml><?xml version="1.0" encoding="utf-8"?>
<Properties xmlns="http://schemas.openxmlformats.org/officeDocument/2006/custom-properties" xmlns:vt="http://schemas.openxmlformats.org/officeDocument/2006/docPropsVTypes"/>
</file>