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851d47967a07835e31e54cc2552648e271a088b"/>
    <w:p>
      <w:pPr>
        <w:pStyle w:val="Heading1"/>
      </w:pPr>
      <w:r>
        <w:t xml:space="preserve">Forced Internationalization Penalty: Firm Performance in Pacific Small Island Developing States</w:t>
      </w:r>
    </w:p>
    <w:p>
      <w:pPr>
        <w:pStyle w:val="FirstParagraph"/>
      </w:pPr>
      <w:r>
        <w:rPr>
          <w:bCs/>
          <w:b/>
        </w:rPr>
        <w:t xml:space="preserve">Target journal</w:t>
      </w:r>
      <w:r>
        <w:t xml:space="preserve">: Journal of Economics and Development (JED), Emerald Publishing on behalf of National Economics University (NEU)</w:t>
      </w:r>
    </w:p>
    <w:p>
      <w:pPr>
        <w:pStyle w:val="BodyText"/>
      </w:pPr>
      <w:r>
        <w:rPr>
          <w:bCs/>
          <w:b/>
        </w:rPr>
        <w:t xml:space="preserve">Keywords</w:t>
      </w:r>
      <w:r>
        <w:t xml:space="preserve">: internationalization–performance relationship; small island developing states; forced internationalization; institutional voids; Pacific economies; labor productivity</w:t>
      </w:r>
    </w:p>
    <w:p>
      <w:r>
        <w:pict>
          <v:rect style="width:0;height:1.5pt" o:hralign="center" o:hrstd="t" o:hr="t"/>
        </w:pict>
      </w:r>
    </w:p>
    <w:bookmarkStart w:id="20" w:name="highlights"/>
    <w:p>
      <w:pPr>
        <w:pStyle w:val="Heading2"/>
      </w:pPr>
      <w:r>
        <w:t xml:space="preserve">Highlights</w:t>
      </w:r>
    </w:p>
    <w:p>
      <w:pPr>
        <w:numPr>
          <w:ilvl w:val="0"/>
          <w:numId w:val="1001"/>
        </w:numPr>
        <w:pStyle w:val="Compact"/>
      </w:pPr>
      <w:r>
        <w:t xml:space="preserve">First firm-level test of the Forced Internationalization Penalty in Pacific SIDS.</w:t>
      </w:r>
    </w:p>
    <w:p>
      <w:pPr>
        <w:numPr>
          <w:ilvl w:val="0"/>
          <w:numId w:val="1001"/>
        </w:numPr>
        <w:pStyle w:val="Compact"/>
      </w:pPr>
      <w:r>
        <w:t xml:space="preserve">Internationalization is monotone-negative for productivity (β = −0.404, p = .032).</w:t>
      </w:r>
    </w:p>
    <w:p>
      <w:pPr>
        <w:numPr>
          <w:ilvl w:val="0"/>
          <w:numId w:val="1001"/>
        </w:numPr>
        <w:pStyle w:val="Compact"/>
      </w:pPr>
      <w:r>
        <w:t xml:space="preserve">The quadratic term is null: no observable turning point in the data range.</w:t>
      </w:r>
    </w:p>
    <w:p>
      <w:pPr>
        <w:numPr>
          <w:ilvl w:val="0"/>
          <w:numId w:val="1001"/>
        </w:numPr>
        <w:pStyle w:val="Compact"/>
      </w:pPr>
      <w:r>
        <w:t xml:space="preserve">Technological capability and digital adoption do not override the penalty.</w:t>
      </w:r>
    </w:p>
    <w:p>
      <w:pPr>
        <w:numPr>
          <w:ilvl w:val="0"/>
          <w:numId w:val="1001"/>
        </w:numPr>
        <w:pStyle w:val="Compact"/>
      </w:pPr>
      <w:r>
        <w:t xml:space="preserve">Shift I–P framing from institutional moderation to institutional determination.</w:t>
      </w:r>
    </w:p>
    <w:p>
      <w:r>
        <w:pict>
          <v:rect style="width:0;height:1.5pt" o:hralign="center" o:hrstd="t" o:hr="t"/>
        </w:pict>
      </w:r>
    </w:p>
    <w:bookmarkEnd w:id="20"/>
    <w:bookmarkStart w:id="21" w:name="abstract"/>
    <w:p>
      <w:pPr>
        <w:pStyle w:val="Heading2"/>
      </w:pPr>
      <w:r>
        <w:t xml:space="preserve">Abstract</w:t>
      </w:r>
    </w:p>
    <w:p>
      <w:pPr>
        <w:pStyle w:val="FirstParagraph"/>
      </w:pPr>
      <w:r>
        <w:rPr>
          <w:bCs/>
          <w:b/>
        </w:rPr>
        <w:t xml:space="preserve">Purpose.</w:t>
      </w:r>
      <w:r>
        <w:t xml:space="preserve"> </w:t>
      </w:r>
      <w:r>
        <w:t xml:space="preserve">This study tests whether the canonical inverted-U between internationalization intensity and firm performance survives in Pacific Small Island Developing States (SIDS), and develops the Forced Internationalization Penalty (FIP) as a structural boundary condition on the inverted-U framework.</w:t>
      </w:r>
    </w:p>
    <w:p>
      <w:pPr>
        <w:pStyle w:val="BodyText"/>
      </w:pPr>
      <w:r>
        <w:rPr>
          <w:bCs/>
          <w:b/>
        </w:rPr>
        <w:t xml:space="preserve">Design/methodology/approach.</w:t>
      </w:r>
      <w:r>
        <w:t xml:space="preserve"> </w:t>
      </w:r>
      <w:r>
        <w:t xml:space="preserve">Using World Bank Enterprise Survey microdata from 1,469 firms across nine Pacific SIDS (2009–2025; 187 exporters), we estimate four OLS specifications with country-and-year fixed effects, year-only fixed effects, an exporters-only subsample, and a Heckman selection correction. The FSTS coefficient on labour productivity is the focal parameter; quadratic curvature is tested via Lind–Mehlum U-tests.</w:t>
      </w:r>
    </w:p>
    <w:p>
      <w:pPr>
        <w:pStyle w:val="BodyText"/>
      </w:pPr>
      <w:r>
        <w:rPr>
          <w:bCs/>
          <w:b/>
        </w:rPr>
        <w:t xml:space="preserve">Findings.</w:t>
      </w:r>
      <w:r>
        <w:t xml:space="preserve"> </w:t>
      </w:r>
      <w:r>
        <w:t xml:space="preserve">Internationalization intensity is robustly negatively associated with labour productivity in Pacific SIDS (</w:t>
      </w:r>
      <m:oMath>
        <m:r>
          <m:t>β</m:t>
        </m:r>
      </m:oMath>
      <w:r>
        <w:t xml:space="preserve"> </w:t>
      </w:r>
      <w:r>
        <w:t xml:space="preserve">= −0.404, p = .032, primary specification;</w:t>
      </w:r>
      <w:r>
        <w:t xml:space="preserve"> </w:t>
      </w:r>
      <m:oMath>
        <m:r>
          <m:t>β</m:t>
        </m:r>
      </m:oMath>
      <w:r>
        <w:t xml:space="preserve"> </w:t>
      </w:r>
      <w:r>
        <w:t xml:space="preserve">= −1.236, p &lt; .001, year-FE only;</w:t>
      </w:r>
      <w:r>
        <w:t xml:space="preserve"> </w:t>
      </w:r>
      <m:oMath>
        <m:r>
          <m:t>β</m:t>
        </m:r>
      </m:oMath>
      <w:r>
        <w:t xml:space="preserve"> </w:t>
      </w:r>
      <w:r>
        <w:t xml:space="preserve">= −0.901, p = .027, exporters-only). The quadratic FSTS term is null in every specification, with no observable turning point in the data range. Technological capability and digital adoption — significant moderators in mainland Asia — are null here. The three structural prerequisites of the inverted-U (viable domestic market, manageable trade costs, functional institutions) are simultaneously absent, producing the FIP signature.</w:t>
      </w:r>
    </w:p>
    <w:p>
      <w:pPr>
        <w:pStyle w:val="BodyText"/>
      </w:pPr>
      <w:r>
        <w:rPr>
          <w:bCs/>
          <w:b/>
        </w:rPr>
        <w:t xml:space="preserve">Research limitations/implications.</w:t>
      </w:r>
      <w:r>
        <w:t xml:space="preserve"> </w:t>
      </w:r>
      <w:r>
        <w:t xml:space="preserve">Sample power is constrained at 187 exporters; the exporter-pool finding should be read as directional. The FIP framework opens a research agenda on whether other extreme-developing contexts (landlocked LDCs, post-conflict economies) exhibit comparable boundary conditions.</w:t>
      </w:r>
    </w:p>
    <w:p>
      <w:pPr>
        <w:pStyle w:val="BodyText"/>
      </w:pPr>
      <w:r>
        <w:rPr>
          <w:bCs/>
          <w:b/>
        </w:rPr>
        <w:t xml:space="preserve">Practical implications.</w:t>
      </w:r>
      <w:r>
        <w:t xml:space="preserve"> </w:t>
      </w:r>
      <w:r>
        <w:t xml:space="preserve">The findings caution against export-intensity targets in Pacific SIDS export-promotion programmes; complementary structural reforms (trade-cost reduction, institutional capacity-building) are prerequisites for any positive I-P returns.</w:t>
      </w:r>
    </w:p>
    <w:p>
      <w:pPr>
        <w:pStyle w:val="BodyText"/>
      </w:pPr>
      <w:r>
        <w:rPr>
          <w:bCs/>
          <w:b/>
        </w:rPr>
        <w:t xml:space="preserve">Social implications.</w:t>
      </w:r>
      <w:r>
        <w:t xml:space="preserve"> </w:t>
      </w:r>
      <w:r>
        <w:t xml:space="preserve">Under the Antigua and Barbuda Agenda for SIDS (UN General Assembly, 2024), the findings recalibrate sustainable-development policy expectations: SIDS firms cannot be expected to "internationalize their way out of" structural constraints; export-led-growth strategies premised on the inverted-U may systematically misallocate development assistance.</w:t>
      </w:r>
    </w:p>
    <w:p>
      <w:pPr>
        <w:pStyle w:val="BodyText"/>
      </w:pPr>
      <w:r>
        <w:rPr>
          <w:bCs/>
          <w:b/>
        </w:rPr>
        <w:t xml:space="preserve">Originality/value.</w:t>
      </w:r>
      <w:r>
        <w:t xml:space="preserve"> </w:t>
      </w:r>
      <w:r>
        <w:t xml:space="preserve">The paper provides the first firm-level operationalization of the SIDS macro-vulnerability framework (Briguglio, 1995; Bertram, 2006; Briguglio et al., 2009) and shifts the theoretical conversation from "institutional moderation of I-P intensity" to "institutional determination of I-P sign" — a qualitative, not merely quantitative, departure. Of 1,745 published WBES-based IB studies, zero have covered Pacific SIDS at the firm level.</w:t>
      </w:r>
    </w:p>
    <w:p>
      <w:pPr>
        <w:pStyle w:val="BodyText"/>
      </w:pPr>
      <w:r>
        <w:rPr>
          <w:bCs/>
          <w:b/>
        </w:rPr>
        <w:t xml:space="preserve">Keywords:</w:t>
      </w:r>
      <w:r>
        <w:t xml:space="preserve"> </w:t>
      </w:r>
      <w:r>
        <w:t xml:space="preserve">forced internationalization; small island developing states; firm performance; institutional voids; Pacific economies; labour productivity.</w:t>
      </w:r>
    </w:p>
    <w:p>
      <w:pPr>
        <w:pStyle w:val="BodyText"/>
      </w:pPr>
      <w:r>
        <w:rPr>
          <w:bCs/>
          <w:b/>
        </w:rPr>
        <w:t xml:space="preserve">JEL classification:</w:t>
      </w:r>
      <w:r>
        <w:t xml:space="preserve"> </w:t>
      </w:r>
      <w:r>
        <w:t xml:space="preserve">F23 (multinational firms; international business); O17 (formal and informal sectors; shadow economy; institutional arrangements); O56 (economywide country studies: Oceania); D22 (firm behaviour: empirical analysis); F14 (empirical studies of trade).</w:t>
      </w:r>
    </w:p>
    <w:p>
      <w:pPr>
        <w:pStyle w:val="BodyText"/>
      </w:pPr>
      <w:r>
        <w:rPr>
          <w:bCs/>
          <w:b/>
        </w:rPr>
        <w:t xml:space="preserve">Paper type:</w:t>
      </w:r>
      <w:r>
        <w:t xml:space="preserve"> </w:t>
      </w:r>
      <w:r>
        <w:t xml:space="preserve">Research paper.</w:t>
      </w:r>
    </w:p>
    <w:p>
      <w:r>
        <w:pict>
          <v:rect style="width:0;height:1.5pt" o:hralign="center" o:hrstd="t" o:hr="t"/>
        </w:pict>
      </w:r>
    </w:p>
    <w:bookmarkEnd w:id="21"/>
    <w:bookmarkStart w:id="22" w:name="Xe3d0fc0bea9a42ce7605565d0964033d7f6ee47"/>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which is itself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in which even an initial downward phase-1 slope is transient and eventually gives way to net benefits. Both frameworks share a foundational assumption. The institutional environment, while it may moderate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study challenges that assumption. We argue that certain structural conditions, characteristic of Small Island Developing States (SIDS), eliminate the prerequisites on which the inverted-U logic depends, and that they replace the expected non-linear pattern with a monotone negative one. We term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absent at once.</w:t>
      </w:r>
    </w:p>
    <w:p>
      <w:pPr>
        <w:pStyle w:val="BodyText"/>
      </w:pPr>
      <w:r>
        <w:t xml:space="preserve">We position FIP as a structural boundary condition rather than a peripheral anomaly. The standard inverted-U describes</w:t>
      </w:r>
      <w:r>
        <w:t xml:space="preserve"> </w:t>
      </w:r>
      <w:r>
        <w:rPr>
          <w:iCs/>
          <w:i/>
        </w:rPr>
        <w:t xml:space="preserve">internationalization-to-scale</w:t>
      </w:r>
      <w:r>
        <w:t xml:space="preserve">: in strong-institution economies, exporting is a profit-optimizing choice, and the descending limb arrives only at a very late turning point because a viable home base, manageable trade costs, and functional institutions allow firms to appropriate scale and learning gains. FIP describes the inverse logic,</w:t>
      </w:r>
      <w:r>
        <w:t xml:space="preserve"> </w:t>
      </w:r>
      <w:r>
        <w:rPr>
          <w:iCs/>
          <w:i/>
        </w:rPr>
        <w:t xml:space="preserve">internationalization-to-survive</w:t>
      </w:r>
      <w:r>
        <w:t xml:space="preserve">: when those same prerequisites are absent, firms are forced to export despite logistics costs so severe that they erode all profit, and the inverted-U collapses into a monotone negative line. The two regimes are not different points on one curve but reflect different combinations of the three structural conditions; conventional theory characterizes the cases in which all three are satisfied, and FIP characterizes cases in which they are not. Empirically, identifying where the curve breaks down clarifies the structural prerequisites the conventional inverted-U logic assumes.</w:t>
      </w:r>
    </w:p>
    <w:p>
      <w:pPr>
        <w:pStyle w:val="BodyText"/>
      </w:pPr>
      <w:r>
        <w:t xml:space="preserve">SIDS offer a theoretically extreme yet empirically underserved context for I-P research. These economies are marked by microscopic domestic markets (Tonga: 104,000 inhabitants; Kiribati: 121,000), by geographic isolation so severe that it amplifies trade costs by 30–210% (Winters &amp; Martins, 2004), and by comprehensive institutional voids that limit firms' ability to appropriate returns from international activities (Briguglio, 1995; Khanna &amp; Palepu, 2010). Recent systematic tracking across 121,249 development data points confirms that these conditions have deepened rather than abated. Progress in 2020–2025 is the slowest on record across 15 of 26 tracked benchmarks, with SIDS and Sub-Saharan Africa disproportionately affected (Pirlea et al., 2026). An independent multi-indicator analysis of six development dimensions, namely poverty, life expectancy, schooling, gender equality, climate, and electricity, finds the world developing at its slowest pace in 75 years; 54 economies remain more than a century from reaching developed-country standards on current trajectories, and SIDS are disproportionately represented in this cohort (Mahler, Serajuddin, Wadhwa, &amp; Yonzan, 2026).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at home. This compulsion, which we describe as survival-based internationalization, reshapes the logic of the I-P relationship.</w:t>
      </w:r>
    </w:p>
    <w:p>
      <w:pPr>
        <w:pStyle w:val="BodyText"/>
      </w:pPr>
      <w:r>
        <w:t xml:space="preserve">This study makes three contributions to the IB literature. First, it provides a structured naming and explicit empirical operationalization for the SIDS internationalization mechanism that the foundational SIDS literature (Briguglio, 1995; Bertram, 2006 MIRAB; Briguglio et al., 2009) has long analysed at the macro level. The three-prerequisite structure (non-viable home market, prohibitive trade costs, comprehensive institutional voids) is established; our contribution is the firm-level operationalization, the FIP label that connects those macro constraints to the sign of the FSTS coefficient in I-P regressions, and the demonstration that this firm-level signature is recoverable in WBES data. We distinguish FIP from adjacent firm-level concepts including phase-1 costs in three-stage theory (Contractor et al., 2003), Liability of Foreignness (Zaheer, 1995), and necessity entrepreneurship (Sarasvathy et al., 2014). Second, it provides empirical evidence from 1,469 firms across nine Pacific SIDS economies using World Bank Enterprise Survey (WBES) data, the most comprehensive firm-level I-P analysis in Pacific SIDS to date. Third, it documents that firm-level capabilities, namely technological capability and digital adoption, do not appear to override FIP. This last result shifts the theoretical conversation from "institutional moderation of the I-P relationship" (Marano, Tallman, &amp; Teece, 2016) toward "institutional determination of the sign of the I-P relationship."</w:t>
      </w:r>
    </w:p>
    <w:p>
      <w:pPr>
        <w:pStyle w:val="BodyText"/>
      </w:pPr>
      <w:r>
        <w:t xml:space="preserve">The findings carry direct policy implications under the Antigua and Barbuda Agenda for SIDS (United Nations General Assembly, 2024). They suggest that strategies premised on export-led growth may be systematically misaligned with the structural realities of Pacific micro-economies.</w:t>
      </w:r>
    </w:p>
    <w:p>
      <w:r>
        <w:pict>
          <v:rect style="width:0;height:1.5pt" o:hralign="center" o:hrstd="t" o:hr="t"/>
        </w:pict>
      </w:r>
    </w:p>
    <w:bookmarkEnd w:id="22"/>
    <w:bookmarkStart w:id="27" w:name="X88086f89d30295b73ade34a6a6d72f6030bebeb"/>
    <w:p>
      <w:pPr>
        <w:pStyle w:val="Heading2"/>
      </w:pPr>
      <w:r>
        <w:t xml:space="preserve">2. Theoretical Background and Hypotheses</w:t>
      </w:r>
    </w:p>
    <w:bookmarkStart w:id="23" w:name="Xb9f10d5a773f889d0c54a837c7b35981e9ef98d"/>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but beyond a threshold, mounting organizational complexity, coordination costs, and the liability of foreignness reverse the performance trajectory (Lu &amp; Beamish, 2004; Hitt, Hoskisson, &amp; Kim, 1997). The turning point, typically estimated between 30% and 70% of foreign sales to total sales (FSTS), represents the point at which marginal costs equal the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 assumes that firms have a functioning home base providing revenues, resources, and organizational learning before and during internationalization (Johanson &amp; Vahlne, 1977; 2009). When the domestic market is non-viable, too small to support minimum efficient scale for even basic operations, firms are structurally compelled to export regardless of strategic readiness or capability. The "selection into exporting" assumption underlying most I-P models then breaks down.</w:t>
      </w:r>
    </w:p>
    <w:p>
      <w:pPr>
        <w:pStyle w:val="BodyText"/>
      </w:pPr>
      <w:r>
        <w:rPr>
          <w:bCs/>
          <w:b/>
        </w:rPr>
        <w:t xml:space="preserve">Prerequisite 2: Manageable trade costs.</w:t>
      </w:r>
      <w:r>
        <w:t xml:space="preserve"> </w:t>
      </w:r>
      <w:r>
        <w:t xml:space="preserve">The standard model assumes 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 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tell a different story. Absent financial intermediaries, unreliable contract enforcement, and limited trade facilitation infrastructure do not merely weaken the inverted-U; they may eliminate the mechanism that generates positive returns from internationalization altogether.</w:t>
      </w:r>
    </w:p>
    <w:bookmarkEnd w:id="23"/>
    <w:bookmarkStart w:id="24" w:name="X1f001da1b4b1572ea8f32d5031e054868494059"/>
    <w:p>
      <w:pPr>
        <w:pStyle w:val="Heading3"/>
      </w:pPr>
      <w:r>
        <w:t xml:space="preserve">2.2 Forced Internationalization Penalty: Theoretical Definition</w:t>
      </w:r>
    </w:p>
    <w:p>
      <w:pPr>
        <w:pStyle w:val="FirstParagraph"/>
      </w:pPr>
      <w:r>
        <w:t xml:space="preserve">We define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 transient.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 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It is the penalty SIDS firms incur when they export, not the penalty multinationals incur when entering SIDS markets.</w:t>
      </w:r>
    </w:p>
    <w:p>
      <w:pPr>
        <w:pStyle w:val="BodyText"/>
      </w:pPr>
      <w:r>
        <w:rPr>
          <w:iCs/>
          <w:i/>
        </w:rPr>
        <w:t xml:space="preserve">From necessity entrepreneurship (Sarasvathy et al., 2014)</w:t>
      </w:r>
      <w:r>
        <w:t xml:space="preserve">: Necessity entrepreneurs in developed contexts often achieve performance parity with opportunity-driven entrepreneurs given sufficient time and institutional support. FIP characterizes contexts where institutional support is systemically absent, so the necessity-driven internationalization path remains persistently disadvantaged.</w:t>
      </w:r>
    </w:p>
    <w:p>
      <w:pPr>
        <w:pStyle w:val="BodyText"/>
      </w:pPr>
      <w:r>
        <w:rPr>
          <w:iCs/>
          <w:i/>
        </w:rPr>
        <w:t xml:space="preserve">From SIDS economic vulnerability (Briguglio, 1995)</w:t>
      </w:r>
      <w:r>
        <w:t xml:space="preserve">: Briguglio's vulnerability index captures macroeconomic exposure to external shocks. FIP is a microeconomic, firm-level construct. It identifies the performance mechanism through which macro-structural vulnerability translates into firm-level outcomes.</w:t>
      </w:r>
    </w:p>
    <w:bookmarkEnd w:id="24"/>
    <w:bookmarkStart w:id="25" w:name="Xc71733a542ce4d73564dcb0287a5b80a716b22f"/>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94,000 (Micronesia) to 10 million (Papua New Guinea, the largest in our sample), domestic markets cannot sustain manufacturing or service firms at minimum efficient scale. Read (2004) demonstrated that the smallest island economies have effectively no choice architecture for export abstention. Firms either export or exit. We term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the standard measure of internationalization intensity,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 intensity is negatively associated with firm performance with no significant quadratic turning point, indicating a Forced Internationalization Penalty rather than an inverted-U relationship.</w:t>
      </w:r>
    </w:p>
    <w:bookmarkEnd w:id="25"/>
    <w:bookmarkStart w:id="26" w:name="Xf304c7c051670d76ad64f147386dc979ed380d0"/>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enabling firms to reach better performance at any given level of internationalization,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from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that generates FIP operates at a level firm-level capabilities cannot easily offset. Two labels make this concrete. First, the negative slope is an</w:t>
      </w:r>
      <w:r>
        <w:t xml:space="preserve"> </w:t>
      </w:r>
      <w:r>
        <w:rPr>
          <w:iCs/>
          <w:i/>
        </w:rPr>
        <w:t xml:space="preserve">Isolation Penalty</w:t>
      </w:r>
      <w:r>
        <w:t xml:space="preserve">, a transaction-cost-of-isolation that geographic remoteness imposes on every cross-border transaction (the 30–210% trade-cost amplification), which a compelled exporter must bear permanently rather than amortize away. Second, a digital shield presupposes a minimal payment-and-logistics substrate to function; under the</w:t>
      </w:r>
      <w:r>
        <w:t xml:space="preserve"> </w:t>
      </w:r>
      <w:r>
        <w:rPr>
          <w:iCs/>
          <w:i/>
        </w:rPr>
        <w:t xml:space="preserve">extreme institutional void</w:t>
      </w:r>
      <w:r>
        <w:t xml:space="preserve"> </w:t>
      </w:r>
      <w:r>
        <w:t xml:space="preserve">characteristic of SIDS, that substrate is largely absent, so digital capability cannot substitute for the missing institutions and physical infrastructure.</w:t>
      </w:r>
    </w:p>
    <w:p>
      <w:pPr>
        <w:pStyle w:val="BodyText"/>
      </w:pPr>
      <w:r>
        <w:rPr>
          <w:bCs/>
          <w:b/>
        </w:rPr>
        <w:t xml:space="preserve">Hypothesis 2 (Capability null hypothesis)</w:t>
      </w:r>
      <w:r>
        <w:t xml:space="preserve">: In Pacific SIDS, 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p>
      <w:r>
        <w:pict>
          <v:rect style="width:0;height:1.5pt" o:hralign="center" o:hrstd="t" o:hr="t"/>
        </w:pict>
      </w:r>
    </w:p>
    <w:bookmarkEnd w:id="26"/>
    <w:bookmarkEnd w:id="27"/>
    <w:bookmarkStart w:id="31" w:name="X5eb800a903106e48a684e9ea9de39ed619b9df8"/>
    <w:p>
      <w:pPr>
        <w:pStyle w:val="Heading2"/>
      </w:pPr>
      <w:r>
        <w:t xml:space="preserve">3. Data and Methods</w:t>
      </w:r>
    </w:p>
    <w:bookmarkStart w:id="28" w:name="X180323993af082d7b264d69830cacecf330a102"/>
    <w:p>
      <w:pPr>
        <w:pStyle w:val="Heading3"/>
      </w:pPr>
      <w:r>
        <w:t xml:space="preserve">3.1 Data Source</w:t>
      </w:r>
    </w:p>
    <w:p>
      <w:pPr>
        <w:pStyle w:val="FirstParagraph"/>
      </w:pPr>
      <w:r>
        <w:t xml:space="preserve">We use pooled data from the World Bank Enterprise Survey (WBES), drawing waves conducted in Pacific SIDS economies between 2009 and 2025. WBES employs stratified random sampling with probability-proportional-to-size design across firm-size strata (5–19, 20–99, 100+ employees) and sectors (manufacturing, services, retail). We include all firm-year observations from economies meeting the SIDS classification: Fiji, Kiribati, Papua New Guinea, Samoa, Solomon Islands, Timor-Leste, Tonga, Vanuatu, and Comoros (nine economies). The analysis sample, observations with non-missing values for labor productivity, export intensity, and firm age, comprises</w:t>
      </w:r>
      <w:r>
        <w:t xml:space="preserve"> </w:t>
      </w:r>
      <w:r>
        <w:rPr>
          <w:bCs/>
          <w:b/>
        </w:rPr>
        <w:t xml:space="preserve">1,469 firms</w:t>
      </w:r>
      <w:r>
        <w:t xml:space="preserve"> </w:t>
      </w:r>
      <w:r>
        <w:t xml:space="preserve">across multiple country-year waves.</w:t>
      </w:r>
    </w:p>
    <w:bookmarkEnd w:id="28"/>
    <w:bookmarkStart w:id="29" w:name="X431a8b355211b47c6e494a5f659051454df4ed1"/>
    <w:p>
      <w:pPr>
        <w:pStyle w:val="Heading3"/>
      </w:pPr>
      <w:r>
        <w:t xml:space="preserve">3.2 Measures</w:t>
      </w:r>
    </w:p>
    <w:p>
      <w:pPr>
        <w:pStyle w:val="FirstParagraph"/>
      </w:pPr>
      <w:r>
        <w:rPr>
          <w:bCs/>
          <w:b/>
        </w:rPr>
        <w:t xml:space="preserve">Dependent variable.</w:t>
      </w:r>
      <w:r>
        <w:t xml:space="preserve"> </w:t>
      </w:r>
      <w:r>
        <w:t xml:space="preserve">Log labor productivity (ln_LP) is constructed as the natural logarithm of sales revenue per permanent worker, expressed in constant purchasing-power-parity-adjusted USD: ln(d2/l1). This measure has been used extensively in enterprise-level productivity studies (Goedhuys &amp; Sleuwaegen, 2013; World Bank, 2020). Of the 1,469 analysis observations, 187 (12.7%) are exporters with FSTS &gt; 0.</w:t>
      </w:r>
    </w:p>
    <w:p>
      <w:pPr>
        <w:pStyle w:val="BodyText"/>
      </w:pPr>
      <w:r>
        <w:rPr>
          <w:bCs/>
          <w:b/>
        </w:rPr>
        <w:t xml:space="preserve">Internationalization intensity.</w:t>
      </w:r>
      <w:r>
        <w:t xml:space="preserve"> </w:t>
      </w:r>
      <w:r>
        <w:t xml:space="preserve">Following the methodology of Haans et al. (2016) and Contractor et al. (2003), we construct FSTS (Foreign Sales to Total Sales) from WBES item d3c (percentage of sales exported), divided by 100. For the main models, FSTS is mean-centered at the wave level:</w:t>
      </w:r>
      <w:r>
        <w:t xml:space="preserve"> </w:t>
      </w:r>
      <m:oMath>
        <m:sSub>
          <m:e>
            <m:r>
              <m:rPr>
                <m:nor/>
                <m:sty m:val="p"/>
              </m:rPr>
              <m:t>FSTS</m:t>
            </m:r>
          </m:e>
          <m:sub>
            <m:r>
              <m:t>c</m:t>
            </m:r>
          </m:sub>
        </m:sSub>
      </m:oMath>
      <w:r>
        <w:t xml:space="preserve"> </w:t>
      </w:r>
      <w:r>
        <w:t xml:space="preserve">= FSTS − mean_wave(FSTS), yielding a mean FSTS of 0.060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w:t>
      </w:r>
      <m:oMath>
        <m:sSub>
          <m:e>
            <m:r>
              <m:rPr>
                <m:nor/>
                <m:sty m:val="p"/>
              </m:rPr>
              <m:t>TCI</m:t>
            </m:r>
          </m:e>
          <m:sub>
            <m:r>
              <m:t>z</m:t>
            </m:r>
          </m:sub>
        </m:sSub>
      </m:oMath>
      <w:r>
        <w:rPr>
          <w:bCs/>
          <w:b/>
        </w:rPr>
        <w:t xml:space="preserve">).</w:t>
      </w:r>
      <w:r>
        <w:t xml:space="preserve"> </w:t>
      </w:r>
      <w:r>
        <w:t xml:space="preserve">Following Lall (1992) and Goedhuys and Sleuwaegen (2013), TCI is constructed from two WBES items: b8 (internationally recognized quality certification, binary) and e6 (licensing of foreign technology, binary).</w:t>
      </w:r>
      <w:r>
        <w:t xml:space="preserve"> </w:t>
      </w:r>
      <m:oMath>
        <m:sSub>
          <m:e>
            <m:r>
              <m:rPr>
                <m:nor/>
                <m:sty m:val="p"/>
              </m:rPr>
              <m:t>TCI</m:t>
            </m:r>
          </m:e>
          <m:sub>
            <m:r>
              <m:t>z</m:t>
            </m:r>
          </m:sub>
        </m:sSub>
      </m:oMath>
      <w:r>
        <w:t xml:space="preserve"> </w:t>
      </w:r>
      <w:r>
        <w:t xml:space="preserve">is the z-standardized mean of these two indicators.</w:t>
      </w:r>
    </w:p>
    <w:p>
      <w:pPr>
        <w:pStyle w:val="BodyText"/>
      </w:pPr>
      <w:r>
        <w:rPr>
          <w:bCs/>
          <w:b/>
        </w:rPr>
        <w:t xml:space="preserve">Digital adoption index (</w:t>
      </w:r>
      <m:oMath>
        <m:sSub>
          <m:e>
            <m:r>
              <m:rPr>
                <m:nor/>
                <m:sty m:val="p"/>
              </m:rPr>
              <m:t>DAI</m:t>
            </m:r>
          </m:e>
          <m:sub>
            <m:r>
              <m:t>z</m:t>
            </m:r>
          </m:sub>
        </m:sSub>
      </m:oMath>
      <w:r>
        <w:rPr>
          <w:bCs/>
          <w:b/>
        </w:rPr>
        <w:t xml:space="preserve">).</w:t>
      </w:r>
      <w:r>
        <w:t xml:space="preserve"> </w:t>
      </w:r>
      <w:r>
        <w:t xml:space="preserve">DAI is measured using WBES item c22b (firm has an operational website, binary). This is a Tier-1 proxy capturing</w:t>
      </w:r>
      <w:r>
        <w:t xml:space="preserve"> </w:t>
      </w:r>
      <w:r>
        <w:rPr>
          <w:iCs/>
          <w:i/>
        </w:rPr>
        <w:t xml:space="preserve">foundational website adoption</w:t>
      </w:r>
      <w:r>
        <w:t xml:space="preserve">, the first step of digital presence. It is appropriate for the SIDS context where advanced digital infrastructure is limited, only 5% of low-income country populations had basic digital skills in 2023, and high-income economies account for 77% of global data center capacity (Mahler, Wang, &amp; Weber, 2026).</w:t>
      </w:r>
      <w:r>
        <w:t xml:space="preserve"> </w:t>
      </w:r>
      <m:oMath>
        <m:sSub>
          <m:e>
            <m:r>
              <m:rPr>
                <m:nor/>
                <m:sty m:val="p"/>
              </m:rPr>
              <m:t>DAI</m:t>
            </m:r>
          </m:e>
          <m:sub>
            <m:r>
              <m:t>z</m:t>
            </m:r>
          </m:sub>
        </m:sSub>
      </m:oMath>
      <w:r>
        <w:t xml:space="preserve"> </w:t>
      </w:r>
      <w:r>
        <w:t xml:space="preserve">is the z-standardized value. We do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 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p>
      <w:pPr>
        <w:pStyle w:val="BodyText"/>
      </w:pPr>
      <w:r>
        <w:rPr>
          <w:iCs/>
          <w:i/>
        </w:rPr>
        <w:t xml:space="preserve">Table 0: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ln(annual sales PPP / permanent workers); PPP-deflated using World Bank ICP deflators by survey year</w:t>
            </w:r>
          </w:p>
        </w:tc>
        <w:tc>
          <w:tcPr/>
          <w:p>
            <w:pPr>
              <w:pStyle w:val="Compact"/>
              <w:jc w:val="left"/>
            </w:pPr>
            <w:r>
              <w:t xml:space="preserve">Dependent variable — log labor productivity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total sales from exports</w:t>
            </w:r>
          </w:p>
        </w:tc>
        <w:tc>
          <w:tcPr/>
          <w:p>
            <w:pPr>
              <w:pStyle w:val="Compact"/>
              <w:jc w:val="left"/>
            </w:pPr>
            <w:r>
              <w:t xml:space="preserve">Internationalization intensity — raw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mean_wave(FSTS); wave-level mean-centred</w:t>
            </w:r>
          </w:p>
        </w:tc>
        <w:tc>
          <w:tcPr/>
          <w:p>
            <w:pPr>
              <w:pStyle w:val="Compact"/>
              <w:jc w:val="left"/>
            </w:pPr>
            <w:r>
              <w:t xml:space="preserve">Internationalization intensity — centred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tests curvature (H1)</w:t>
            </w:r>
          </w:p>
        </w:tc>
        <w:tc>
          <w:tcPr/>
          <w:p>
            <w:pPr>
              <w:pStyle w:val="Compact"/>
              <w:jc w:val="left"/>
            </w:pPr>
            <w:r>
              <w:t xml:space="preserve">Quadratic term; β₂ &lt; 0 if inverted-U, NS if FIP monotone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quality cert + foreign tech licence</w:t>
            </w:r>
          </w:p>
        </w:tc>
        <w:tc>
          <w:tcPr/>
          <w:p>
            <w:pPr>
              <w:pStyle w:val="Compact"/>
              <w:jc w:val="left"/>
            </w:pPr>
            <w:r>
              <w:t xml:space="preserve">Technological capability — Tier-1 proxy; direct + moderation test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operational website presence — Tier-1 only</w:t>
            </w:r>
          </w:p>
        </w:tc>
        <w:tc>
          <w:tcPr/>
          <w:p>
            <w:pPr>
              <w:pStyle w:val="Compact"/>
              <w:jc w:val="left"/>
            </w:pPr>
            <w:r>
              <w:t xml:space="preserve">Digital adoption — foundational website proxy; NOT dynamic digital capability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ln(permanent employees)</w:t>
            </w:r>
          </w:p>
        </w:tc>
        <w:tc>
          <w:tcPr/>
          <w:p>
            <w:pPr>
              <w:pStyle w:val="Compact"/>
              <w:jc w:val="left"/>
            </w:pPr>
            <w:r>
              <w:t xml:space="preserve">Control — firm size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Control — firm age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equity held by foreign entities</w:t>
            </w:r>
          </w:p>
        </w:tc>
        <w:tc>
          <w:tcPr/>
          <w:p>
            <w:pPr>
              <w:pStyle w:val="Compact"/>
              <w:jc w:val="left"/>
            </w:pPr>
            <w:r>
              <w:t xml:space="preserve">Control — foreign ownership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Country fixed effects (9 SIDS economies)</w:t>
            </w:r>
          </w:p>
        </w:tc>
        <w:tc>
          <w:tcPr/>
          <w:p>
            <w:pPr>
              <w:pStyle w:val="Compact"/>
              <w:jc w:val="left"/>
            </w:pPr>
            <w:r>
              <w:t xml:space="preserve">Absorbs time-invariant country heterogeneity: institutional quality, remoteness, trade costs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 (2009, 2015, 2016, 2018, 2019, 2022, 2023, 2024, 2025)</w:t>
            </w:r>
          </w:p>
        </w:tc>
        <w:tc>
          <w:tcPr/>
          <w:p>
            <w:pPr>
              <w:pStyle w:val="Compact"/>
              <w:jc w:val="left"/>
            </w:pPr>
            <w:r>
              <w:t xml:space="preserve">Absorbs common time trends</w:t>
            </w:r>
          </w:p>
        </w:tc>
      </w:tr>
    </w:tbl>
    <w:p>
      <w:pPr>
        <w:pStyle w:val="BodyText"/>
      </w:pPr>
      <w:r>
        <w:rPr>
          <w:iCs/>
          <w:i/>
        </w:rPr>
        <w:t xml:space="preserve">Notes.</w:t>
      </w:r>
      <w:r>
        <w:t xml:space="preserve"> </w:t>
      </w:r>
      <w:r>
        <w:t xml:space="preserve">b8 and e6 are recoded from WBES response codes (1 = yes, 2 = no) to binary (1/0). c22b is recoded similarly.</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are standardised across the full pooled sample. PPP conversion uses World Bank ICP deflators matched to survey year.</w:t>
      </w:r>
      <w:r>
        <w:t xml:space="preserve"> </w:t>
      </w:r>
      <m:oMath>
        <m:sSub>
          <m:e>
            <m:r>
              <m:rPr>
                <m:nor/>
                <m:sty m:val="p"/>
              </m:rPr>
              <m:t>FSTS</m:t>
            </m:r>
          </m:e>
          <m:sub>
            <m:r>
              <m:t>c</m:t>
            </m:r>
          </m:sub>
        </m:sSub>
      </m:oMath>
      <w:r>
        <w:t xml:space="preserve"> </w:t>
      </w:r>
      <w:r>
        <w:t xml:space="preserve">is centred within each country-year wave so that turning-point estimates are not confounded by cross-wave composition shifts (Haans et al., 2016). DAI captures only Tier-1 static website presence; Tier-2 (e-payment) and Tier-3 (cloud/ERP) indicators are unavailable for these WBES waves.</w:t>
      </w:r>
    </w:p>
    <w:bookmarkEnd w:id="29"/>
    <w:bookmarkStart w:id="30" w:name="Xc5fe1f3cf583535f12a87a680dcd317400b3da2"/>
    <w:p>
      <w:pPr>
        <w:pStyle w:val="Heading3"/>
      </w:pPr>
      <w:r>
        <w:t xml:space="preserve">3.3 Model Sequence</w:t>
      </w:r>
    </w:p>
    <w:p>
      <w:pPr>
        <w:pStyle w:val="FirstParagraph"/>
      </w:pPr>
      <w:r>
        <w:t xml:space="preserve">We estimate four model families to test H1 and H2:</w:t>
      </w:r>
    </w:p>
    <w:p>
      <w:pPr>
        <w:pStyle w:val="BodyText"/>
      </w:pPr>
      <w:r>
        <w:rPr>
          <w:bCs/>
          <w:b/>
        </w:rPr>
        <w:t xml:space="preserve">M0 (controls baseline)</w:t>
      </w:r>
      <w:r>
        <w:t xml:space="preserve">:</w:t>
      </w:r>
      <w:r>
        <w:t xml:space="preserve"> </w:t>
      </w:r>
      <w:r>
        <w:t xml:space="preserve">ln_LP_it =</w:t>
      </w:r>
      <w:r>
        <w:t xml:space="preserve"> </w:t>
      </w:r>
      <m:oMath>
        <m:r>
          <m:t>α</m:t>
        </m:r>
      </m:oMath>
      <w:r>
        <w:t xml:space="preserve"> </w:t>
      </w:r>
      <w:r>
        <w:t xml:space="preserve">+</w:t>
      </w:r>
      <w:r>
        <w:t xml:space="preserve"> </w:t>
      </w:r>
      <m:oMath>
        <m:r>
          <m:t>γ</m:t>
        </m:r>
      </m:oMath>
      <w:r>
        <w:t xml:space="preserve">₁ ln_size_it +</w:t>
      </w:r>
      <w:r>
        <w:t xml:space="preserve"> </w:t>
      </w:r>
      <m:oMath>
        <m:r>
          <m:t>γ</m:t>
        </m:r>
      </m:oMath>
      <w:r>
        <w:t xml:space="preserve">₂ firm_age_it +</w:t>
      </w:r>
      <w:r>
        <w:t xml:space="preserve"> </w:t>
      </w:r>
      <m:oMath>
        <m:r>
          <m:t>γ</m:t>
        </m:r>
      </m:oMath>
      <w:r>
        <w:t xml:space="preserve">₃ foreign_own_pct_it + δ_c +</w:t>
      </w:r>
      <w:r>
        <w:t xml:space="preserve"> </w:t>
      </w:r>
      <m:oMath>
        <m:r>
          <m:t>λ</m:t>
        </m:r>
      </m:oMath>
      <w:r>
        <w:t xml:space="preserve">_t +</w:t>
      </w:r>
      <w:r>
        <w:t xml:space="preserve"> </w:t>
      </w:r>
      <m:oMath>
        <m:r>
          <m:t>ϵ</m:t>
        </m:r>
      </m:oMath>
      <w:r>
        <w:t xml:space="preserve">_it</w:t>
      </w:r>
    </w:p>
    <w:p>
      <w:pPr>
        <w:pStyle w:val="BodyText"/>
      </w:pPr>
      <w:r>
        <w:rPr>
          <w:bCs/>
          <w:b/>
        </w:rPr>
        <w:t xml:space="preserve">M1 (linear FSTS, FIP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rPr>
          <w:bCs/>
          <w:b/>
        </w:rPr>
        <w:t xml:space="preserve">M2 (quadratic FSTS, curvature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rPr>
          <w:bCs/>
          <w:b/>
        </w:rPr>
        <w:t xml:space="preserve">M3 (capabilities, moderation null test)</w:t>
      </w:r>
      <w:r>
        <w:t xml:space="preserve">:</w:t>
      </w:r>
      <w:r>
        <w:t xml:space="preserve"> </w:t>
      </w:r>
      <w:r>
        <w:t xml:space="preserve">ln_LP_it =</w:t>
      </w:r>
      <w:r>
        <w:t xml:space="preserve"> </w:t>
      </w:r>
      <m:oMath>
        <m:r>
          <m:t>α</m:t>
        </m:r>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_it +</w:t>
      </w:r>
      <w:r>
        <w:t xml:space="preserve"> </w:t>
      </w:r>
      <m:oMath>
        <m:sSub>
          <m:e>
            <m:r>
              <m:t>β</m:t>
            </m:r>
          </m:e>
          <m:sub>
            <m:r>
              <m:t>2</m:t>
            </m:r>
          </m:sub>
        </m:sSub>
      </m:oMath>
      <w:r>
        <w:t xml:space="preserve"> </w:t>
      </w:r>
      <m:oMath>
        <m:sSubSup>
          <m:e>
            <m:r>
              <m:rPr>
                <m:nor/>
                <m:sty m:val="p"/>
              </m:rPr>
              <m:t>FSTS</m:t>
            </m:r>
          </m:e>
          <m:sub>
            <m:r>
              <m:t>c</m:t>
            </m:r>
          </m:sub>
          <m:sup>
            <m:r>
              <m:t>2</m:t>
            </m:r>
          </m:sup>
        </m:sSubSup>
      </m:oMath>
      <w:r>
        <w:t xml:space="preserve">_it +</w:t>
      </w:r>
      <w:r>
        <w:t xml:space="preserve"> </w:t>
      </w:r>
      <m:oMath>
        <m:sSub>
          <m:e>
            <m:r>
              <m:t>β</m:t>
            </m:r>
          </m:e>
          <m:sub>
            <m:r>
              <m:t>3</m:t>
            </m:r>
          </m:sub>
        </m:sSub>
      </m:oMath>
      <w:r>
        <w:t xml:space="preserve"> </w:t>
      </w:r>
      <m:oMath>
        <m:sSub>
          <m:e>
            <m:r>
              <m:rPr>
                <m:nor/>
                <m:sty m:val="p"/>
              </m:rPr>
              <m:t>TCI</m:t>
            </m:r>
          </m:e>
          <m:sub>
            <m:r>
              <m:t>z</m:t>
            </m:r>
          </m:sub>
        </m:sSub>
      </m:oMath>
      <w:r>
        <w:t xml:space="preserve">_it +</w:t>
      </w:r>
      <w:r>
        <w:t xml:space="preserve"> </w:t>
      </w:r>
      <m:oMath>
        <m:sSub>
          <m:e>
            <m:r>
              <m:t>β</m:t>
            </m:r>
          </m:e>
          <m:sub>
            <m:r>
              <m:t>4</m:t>
            </m:r>
          </m:sub>
        </m:sSub>
      </m:oMath>
      <w:r>
        <w:t xml:space="preserve"> </w:t>
      </w:r>
      <m:oMath>
        <m:sSub>
          <m:e>
            <m:r>
              <m:rPr>
                <m:nor/>
                <m:sty m:val="p"/>
              </m:rPr>
              <m:t>DAI</m:t>
            </m:r>
          </m:e>
          <m:sub>
            <m:r>
              <m:t>z</m:t>
            </m:r>
          </m:sub>
        </m:sSub>
      </m:oMath>
      <w:r>
        <w:t xml:space="preserve">_it +</w:t>
      </w:r>
      <w:r>
        <w:t xml:space="preserve"> </w:t>
      </w:r>
      <m:oMath>
        <m:r>
          <m:t>γ</m:t>
        </m:r>
      </m:oMath>
      <w:r>
        <w:t xml:space="preserve">·X_it + δ_c +</w:t>
      </w:r>
      <w:r>
        <w:t xml:space="preserve"> </w:t>
      </w:r>
      <m:oMath>
        <m:r>
          <m:t>λ</m:t>
        </m:r>
      </m:oMath>
      <w:r>
        <w:t xml:space="preserve">_t +</w:t>
      </w:r>
      <w:r>
        <w:t xml:space="preserve"> </w:t>
      </w:r>
      <m:oMath>
        <m:r>
          <m:t>ϵ</m:t>
        </m:r>
      </m:oMath>
      <w:r>
        <w:t xml:space="preserve">_it</w:t>
      </w:r>
    </w:p>
    <w:p>
      <w:pPr>
        <w:pStyle w:val="BodyText"/>
      </w:pPr>
      <w:r>
        <w:t xml:space="preserve">where δ_c denotes country fixed effects,</w:t>
      </w:r>
      <w:r>
        <w:t xml:space="preserve"> </w:t>
      </w:r>
      <m:oMath>
        <m:r>
          <m:t>λ</m:t>
        </m:r>
      </m:oMath>
      <w:r>
        <w:t xml:space="preserve">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We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p>
      <w:r>
        <w:pict>
          <v:rect style="width:0;height:1.5pt" o:hralign="center" o:hrstd="t" o:hr="t"/>
        </w:pict>
      </w:r>
    </w:p>
    <w:bookmarkEnd w:id="30"/>
    <w:bookmarkEnd w:id="31"/>
    <w:bookmarkStart w:id="38" w:name="X121719332867ee227f0a04b486098cee978c6e6"/>
    <w:p>
      <w:pPr>
        <w:pStyle w:val="Heading2"/>
      </w:pPr>
      <w:r>
        <w:t xml:space="preserve">4. Results</w:t>
      </w:r>
    </w:p>
    <w:bookmarkStart w:id="32" w:name="Xf031df31c5b8141c05fcebab78842231a9e024a"/>
    <w:p>
      <w:pPr>
        <w:pStyle w:val="Heading3"/>
      </w:pPr>
      <w:r>
        <w:t xml:space="preserve">4.1 Sample Description and Preliminary Evidence</w:t>
      </w:r>
    </w:p>
    <w:p>
      <w:pPr>
        <w:pStyle w:val="FirstParagraph"/>
      </w:pPr>
      <w:r>
        <w:t xml:space="preserve">The analysis sample spans 1,469 firms across nine Pacific SIDS economies. Table 1 reports country-level summary statistics. Exporter representation is thin across all economies (overall 12.7%), consistent with the SIDS structural constraint: most firms operate predominantly in the domestic market despite its limitations. Mean FSTS across the full sample is 0.060, reflecting the low-but-non-zero export engagement of SIDS firms. The country fixed effects absorb substantial variance:</w:t>
      </w:r>
      <w:r>
        <w:t xml:space="preserve"> </w:t>
      </w:r>
      <m:oMath>
        <m:sSup>
          <m:e>
            <m:r>
              <m:t>R</m:t>
            </m:r>
          </m:e>
          <m:sup>
            <m:r>
              <m:t>2</m:t>
            </m:r>
          </m:sup>
        </m:sSup>
      </m:oMath>
      <w:r>
        <w:t xml:space="preserve"> </w:t>
      </w:r>
      <w:r>
        <w:t xml:space="preserve">increases from 0.511 (year FE only) to 0.799 (country + year FE) when country indicators are added, confirming that 95% of explained productivity variance is between-country, a feature consistent with extreme between-country heterogeneity in institutional quality, geographic remoteness, and economic structure.</w:t>
      </w:r>
    </w:p>
    <w:bookmarkEnd w:id="32"/>
    <w:bookmarkStart w:id="33" w:name="X221fb7e0fbd1e09102b607f2a4be829dba85b6e"/>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m:oMath>
        <m:r>
          <m:t>β</m:t>
        </m:r>
      </m:oMath>
      <w:r>
        <w:t xml:space="preserve">(</w:t>
      </w:r>
      <m:oMath>
        <m:sSub>
          <m:e>
            <m:r>
              <m:rPr>
                <m:nor/>
                <m:sty m:val="p"/>
              </m:rPr>
              <m:t>FSTS</m:t>
            </m:r>
          </m:e>
          <m:sub>
            <m:r>
              <m:t>c</m:t>
            </m:r>
          </m:sub>
        </m:sSub>
      </m:oMath>
      <w:r>
        <w:t xml:space="preserve">) =</w:t>
      </w:r>
      <w:r>
        <w:t xml:space="preserve"> </w:t>
      </w:r>
      <w:r>
        <w:rPr>
          <w:bCs/>
          <w:b/>
        </w:rPr>
        <w:t xml:space="preserve">−0.404</w:t>
      </w:r>
      <w:r>
        <w:t xml:space="preserve">, SE = 0.188, t = −2.152, p =</w:t>
      </w:r>
      <w:r>
        <w:t xml:space="preserve"> </w:t>
      </w:r>
      <w:r>
        <w:rPr>
          <w:bCs/>
          <w:b/>
        </w:rPr>
        <w:t xml:space="preserve">.032</w:t>
      </w:r>
    </w:p>
    <w:p>
      <w:pPr>
        <w:pStyle w:val="BodyText"/>
      </w:pPr>
      <w:r>
        <w:t xml:space="preserve">This coefficient is statistically significant at the conventional 5% level and substantively meaningful: a one-unit increase in FSTS (a move from no exports to full-export orientation) is associated with a 40.4% lower labor productivity.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w:t>
      </w:r>
      <w:r>
        <w:t xml:space="preserve"> </w:t>
      </w:r>
      <m:oMath>
        <m:sSup>
          <m:e>
            <m:r>
              <m:t>R</m:t>
            </m:r>
          </m:e>
          <m:sup>
            <m:r>
              <m:t>2</m:t>
            </m:r>
          </m:sup>
        </m:sSup>
      </m:oMath>
      <w:r>
        <w:t xml:space="preserve"> </w:t>
      </w:r>
      <w:r>
        <w:t xml:space="preserve">of 0.7992, and adding</w:t>
      </w:r>
      <w:r>
        <w:t xml:space="preserve"> </w:t>
      </w:r>
      <m:oMath>
        <m:sSub>
          <m:e>
            <m:r>
              <m:rPr>
                <m:nor/>
                <m:sty m:val="p"/>
              </m:rPr>
              <m:t>FSTS</m:t>
            </m:r>
          </m:e>
          <m:sub>
            <m:r>
              <m:t>c</m:t>
            </m:r>
          </m:sub>
        </m:sSub>
      </m:oMath>
      <w:r>
        <w:t xml:space="preserve"> </w:t>
      </w:r>
      <w:r>
        <w:t xml:space="preserve">in M1 marginally increases</w:t>
      </w:r>
      <w:r>
        <w:t xml:space="preserve"> </w:t>
      </w:r>
      <m:oMath>
        <m:sSup>
          <m:e>
            <m:r>
              <m:t>R</m:t>
            </m:r>
          </m:e>
          <m:sup>
            <m:r>
              <m:t>2</m:t>
            </m:r>
          </m:sup>
        </m:sSup>
      </m:oMath>
      <w:r>
        <w:t xml:space="preserve"> </w:t>
      </w:r>
      <w:r>
        <w:t xml:space="preserve">to 0.8001, which indicates that, conditional on country and year fixed effects, FSTS explains limited additional variance but does so in a consistently negative direction.</w:t>
      </w:r>
    </w:p>
    <w:p>
      <w:pPr>
        <w:pStyle w:val="BodyText"/>
      </w:pPr>
      <w:r>
        <w:t xml:space="preserve">Control variable results in M1 are consistent with established evidence: firm age is positively associated with productivity (</w:t>
      </w:r>
      <m:oMath>
        <m:r>
          <m:t>β</m:t>
        </m:r>
      </m:oMath>
      <w:r>
        <w:t xml:space="preserve"> </w:t>
      </w:r>
      <w:r>
        <w:t xml:space="preserve">= +0.009, p = .052); foreign ownership shows a marginally negative association (</w:t>
      </w:r>
      <m:oMath>
        <m:r>
          <m:t>β</m:t>
        </m:r>
      </m:oMath>
      <w:r>
        <w:t xml:space="preserve"> </w:t>
      </w:r>
      <w:r>
        <w:t xml:space="preserve">= −0.006, p = .056), perhaps reflecting thin foreign investment efficiency in SIDS contexts; firm size is positive but non-significant (</w:t>
      </w:r>
      <m:oMath>
        <m:r>
          <m:t>β</m:t>
        </m:r>
      </m:oMath>
      <w:r>
        <w:t xml:space="preserve"> </w:t>
      </w:r>
      <w:r>
        <w:t xml:space="preserve">= +0.082, p = .242).</w:t>
      </w:r>
    </w:p>
    <w:bookmarkEnd w:id="33"/>
    <w:bookmarkStart w:id="34" w:name="X278b3f0cc4133671f70c21e2e288fdaa4a06e72"/>
    <w:p>
      <w:pPr>
        <w:pStyle w:val="Heading3"/>
      </w:pPr>
      <w:r>
        <w:t xml:space="preserve">4.3 Monotone Negative Form: No Curvature (H1, quadratic null)</w:t>
      </w:r>
    </w:p>
    <w:p>
      <w:pPr>
        <w:pStyle w:val="FirstParagraph"/>
      </w:pPr>
      <w:r>
        <w:rPr>
          <w:bCs/>
          <w:b/>
        </w:rPr>
        <w:t xml:space="preserve">M2</w:t>
      </w:r>
      <w:r>
        <w:t xml:space="preserve"> </w:t>
      </w:r>
      <w:r>
        <w:t xml:space="preserve">introduces the quadratic term</w:t>
      </w:r>
      <w:r>
        <w:t xml:space="preserve"> </w:t>
      </w:r>
      <m:oMath>
        <m:sSubSup>
          <m:e>
            <m:r>
              <m:rPr>
                <m:nor/>
                <m:sty m:val="p"/>
              </m:rPr>
              <m:t>FSTS</m:t>
            </m:r>
          </m:e>
          <m:sub>
            <m:r>
              <m:t>c</m:t>
            </m:r>
          </m:sub>
          <m:sup>
            <m:r>
              <m:t>2</m:t>
            </m:r>
          </m:sup>
        </m:sSubSup>
      </m:oMath>
      <w:r>
        <w:t xml:space="preserve"> </w:t>
      </w:r>
      <w:r>
        <w:t xml:space="preserve">to test whether the negative I-P relationship is eventually reversed, i.e., whether there is any inverted-U pattern with the positive portion below our data range.</w:t>
      </w:r>
    </w:p>
    <w:p>
      <w:pPr>
        <w:pStyle w:val="BodyText"/>
      </w:pPr>
      <w:r>
        <w:t xml:space="preserve">The results are:</w:t>
      </w:r>
      <w:r>
        <w:t xml:space="preserve"> </w:t>
      </w:r>
      <m:oMath>
        <m:r>
          <m:t>β</m:t>
        </m:r>
      </m:oMath>
      <w:r>
        <w:t xml:space="preserve">(</w:t>
      </w:r>
      <m:oMath>
        <m:sSub>
          <m:e>
            <m:r>
              <m:rPr>
                <m:nor/>
                <m:sty m:val="p"/>
              </m:rPr>
              <m:t>FSTS</m:t>
            </m:r>
          </m:e>
          <m:sub>
            <m:r>
              <m:t>c</m:t>
            </m:r>
          </m:sub>
        </m:sSub>
      </m:oMath>
      <w:r>
        <w:t xml:space="preserve">) = −0.925, SE = 0.828, p = .265 (n.s.)</w:t>
      </w:r>
      <w:r>
        <w:t xml:space="preserve"> </w:t>
      </w:r>
      <m:oMath>
        <m:r>
          <m:t>β</m:t>
        </m:r>
      </m:oMath>
      <w:r>
        <w:t xml:space="preserve">(</w:t>
      </w:r>
      <m:oMath>
        <m:sSubSup>
          <m:e>
            <m:r>
              <m:rPr>
                <m:nor/>
                <m:sty m:val="p"/>
              </m:rPr>
              <m:t>FSTS</m:t>
            </m:r>
          </m:e>
          <m:sub>
            <m:r>
              <m:t>c</m:t>
            </m:r>
          </m:sub>
          <m:sup>
            <m:r>
              <m:t>2</m:t>
            </m:r>
          </m:sup>
        </m:sSubSup>
      </m:oMath>
      <w:r>
        <w:t xml:space="preserve">) = +0.649, SE = 0.980, p = .508 (n.s.)</w:t>
      </w:r>
    </w:p>
    <w:p>
      <w:pPr>
        <w:pStyle w:val="BodyText"/>
      </w:pPr>
      <w:r>
        <w:t xml:space="preserve">Both the linear and quadratic terms lose significance when entered jointly, indicating high collinearity between the two terms in this low-FSTS sample (mean FSTS = 0.060). Importantly, the positive quadratic coefficient would imply a U-shape rather than inverted-U, a reversal of the conventional form that is itself consistent with FIP (the relationship is monotonically negative with no upward turning point within the observed range).</w:t>
      </w:r>
    </w:p>
    <w:p>
      <w:pPr>
        <w:pStyle w:val="BodyText"/>
      </w:pPr>
      <w:r>
        <w:t xml:space="preserve">Following Haans et al. (2016), we evaluate the four necessary conditions for a curvature relationship. All four must hold for an inverted-U to be confirmed; here, all four</w:t>
      </w:r>
      <w:r>
        <w:t xml:space="preserve"> </w:t>
      </w:r>
      <w:r>
        <w:rPr>
          <w:iCs/>
          <w:i/>
        </w:rPr>
        <w:t xml:space="preserve">fail</w:t>
      </w:r>
      <w:r>
        <w:t xml:space="preserve">, which is the expected signature of FIP:</w:t>
      </w:r>
    </w:p>
    <w:p>
      <w:pPr>
        <w:numPr>
          <w:ilvl w:val="0"/>
          <w:numId w:val="1002"/>
        </w:numPr>
        <w:pStyle w:val="Compact"/>
      </w:pPr>
      <w:r>
        <w:rPr>
          <w:bCs/>
          <w:b/>
        </w:rPr>
        <w:t xml:space="preserve">C1</w:t>
      </w:r>
      <w:r>
        <w:t xml:space="preserve"> </w:t>
      </w:r>
      <w:r>
        <w:t xml:space="preserve">(positive slope at low FSTS):</w:t>
      </w:r>
      <w:r>
        <w:t xml:space="preserve"> </w:t>
      </w:r>
      <m:oMath>
        <m:r>
          <m:t>β</m:t>
        </m:r>
      </m:oMath>
      <w:r>
        <w:t xml:space="preserve">(</w:t>
      </w:r>
      <m:oMath>
        <m:sSub>
          <m:e>
            <m:r>
              <m:rPr>
                <m:nor/>
                <m:sty m:val="p"/>
              </m:rPr>
              <m:t>FSTS</m:t>
            </m:r>
          </m:e>
          <m:sub>
            <m:r>
              <m:t>c</m:t>
            </m:r>
          </m:sub>
        </m:sSub>
      </m:oMath>
      <w:r>
        <w:t xml:space="preserve">) = −0.925 (</w:t>
      </w:r>
      <w:r>
        <w:rPr>
          <w:iCs/>
          <w:i/>
        </w:rPr>
        <w:t xml:space="preserve">p</w:t>
      </w:r>
      <w:r>
        <w:t xml:space="preserve"> </w:t>
      </w:r>
      <w:r>
        <w:t xml:space="preserve">= .265),</w:t>
      </w:r>
      <w:r>
        <w:t xml:space="preserve"> </w:t>
      </w:r>
      <w:r>
        <w:rPr>
          <w:bCs/>
          <w:b/>
        </w:rPr>
        <w:t xml:space="preserve">not significant and negative in sign</w:t>
      </w:r>
      <w:r>
        <w:t xml:space="preserve">; no ascending limb at low FSTS values</w:t>
      </w:r>
    </w:p>
    <w:p>
      <w:pPr>
        <w:numPr>
          <w:ilvl w:val="0"/>
          <w:numId w:val="1002"/>
        </w:numPr>
        <w:pStyle w:val="Compact"/>
      </w:pPr>
      <w:r>
        <w:rPr>
          <w:bCs/>
          <w:b/>
        </w:rPr>
        <w:t xml:space="preserve">C2</w:t>
      </w:r>
      <w:r>
        <w:t xml:space="preserve"> </w:t>
      </w:r>
      <w:r>
        <w:t xml:space="preserve">(negative curvature</w:t>
      </w:r>
      <w:r>
        <w:t xml:space="preserve"> </w:t>
      </w:r>
      <m:oMath>
        <m:sSub>
          <m:e>
            <m:r>
              <m:t>β</m:t>
            </m:r>
          </m:e>
          <m:sub>
            <m:r>
              <m:t>2</m:t>
            </m:r>
          </m:sub>
        </m:sSub>
      </m:oMath>
      <w:r>
        <w:t xml:space="preserve"> </w:t>
      </w:r>
      <w:r>
        <w:t xml:space="preserve">&lt; 0):</w:t>
      </w:r>
      <w:r>
        <w:t xml:space="preserve"> </w:t>
      </w:r>
      <m:oMath>
        <m:r>
          <m:t>β</m:t>
        </m:r>
      </m:oMath>
      <w:r>
        <w:t xml:space="preserve">(</w:t>
      </w:r>
      <m:oMath>
        <m:sSubSup>
          <m:e>
            <m:r>
              <m:rPr>
                <m:nor/>
                <m:sty m:val="p"/>
              </m:rPr>
              <m:t>FSTS</m:t>
            </m:r>
          </m:e>
          <m:sub>
            <m:r>
              <m:t>c</m:t>
            </m:r>
          </m:sub>
          <m:sup>
            <m:r>
              <m:t>2</m:t>
            </m:r>
          </m:sup>
        </m:sSubSup>
      </m:oMath>
      <w:r>
        <w:t xml:space="preserve">) = +0.649 (</w:t>
      </w:r>
      <w:r>
        <w:rPr>
          <w:iCs/>
          <w:i/>
        </w:rPr>
        <w:t xml:space="preserve">p</w:t>
      </w:r>
      <w:r>
        <w:t xml:space="preserve"> </w:t>
      </w:r>
      <w:r>
        <w:t xml:space="preserve">= .508),</w:t>
      </w:r>
      <w:r>
        <w:t xml:space="preserve"> </w:t>
      </w:r>
      <w:r>
        <w:rPr>
          <w:bCs/>
          <w:b/>
        </w:rPr>
        <w:t xml:space="preserve">not significant; positive sign indicates U-shape, not inverted-U</w:t>
      </w:r>
    </w:p>
    <w:p>
      <w:pPr>
        <w:numPr>
          <w:ilvl w:val="0"/>
          <w:numId w:val="1002"/>
        </w:numPr>
        <w:pStyle w:val="Compact"/>
      </w:pPr>
      <w:r>
        <w:rPr>
          <w:bCs/>
          <w:b/>
        </w:rPr>
        <w:t xml:space="preserve">C3</w:t>
      </w:r>
      <w:r>
        <w:t xml:space="preserve"> </w:t>
      </w:r>
      <w:r>
        <w:t xml:space="preserve">(turning point within data range): TP* = −(−0.925) / (2</w:t>
      </w:r>
      <w:r>
        <w:t xml:space="preserve"> </w:t>
      </w:r>
      <m:oMath>
        <m:r>
          <m:rPr>
            <m:sty m:val="p"/>
          </m:rPr>
          <m:t>×</m:t>
        </m:r>
      </m:oMath>
      <w:r>
        <w:t xml:space="preserve"> </w:t>
      </w:r>
      <w:r>
        <w:t xml:space="preserve">0.649) = 0.712,</w:t>
      </w:r>
      <w:r>
        <w:t xml:space="preserve"> </w:t>
      </w:r>
      <w:r>
        <w:rPr>
          <w:bCs/>
          <w:b/>
        </w:rPr>
        <w:t xml:space="preserve">implied turning point lies outside the observed sample maximum (</w:t>
      </w:r>
      <m:oMath>
        <m:sSub>
          <m:e>
            <m:r>
              <m:rPr>
                <m:nor/>
                <m:sty m:val="p"/>
              </m:rPr>
              <m:t>FSTS</m:t>
            </m:r>
          </m:e>
          <m:sub>
            <m:r>
              <m:t>m</m:t>
            </m:r>
          </m:sub>
        </m:sSub>
      </m:oMath>
      <w:r>
        <w:rPr>
          <w:bCs/>
          <w:b/>
        </w:rPr>
        <w:t xml:space="preserve">ax</w:t>
      </w:r>
      <w:r>
        <w:rPr>
          <w:bCs/>
          <w:b/>
        </w:rPr>
        <w:t xml:space="preserve"> </w:t>
      </w:r>
      <m:oMath>
        <m:r>
          <m:rPr>
            <m:sty m:val="p"/>
          </m:rPr>
          <m:t>≈</m:t>
        </m:r>
      </m:oMath>
      <w:r>
        <w:rPr>
          <w:bCs/>
          <w:b/>
        </w:rPr>
        <w:t xml:space="preserve"> </w:t>
      </w:r>
      <w:r>
        <w:rPr>
          <w:bCs/>
          <w:b/>
        </w:rPr>
        <w:t xml:space="preserve">0.80, but neither</w:t>
      </w:r>
      <w:r>
        <w:rPr>
          <w:bCs/>
          <w:b/>
        </w:rPr>
        <w:t xml:space="preserve"> </w:t>
      </w:r>
      <m:oMath>
        <m:sSub>
          <m:e>
            <m:r>
              <m:t>β</m:t>
            </m:r>
          </m:e>
          <m:sub>
            <m:r>
              <m:t>1</m:t>
            </m:r>
          </m:sub>
        </m:sSub>
      </m:oMath>
      <w:r>
        <w:rPr>
          <w:bCs/>
          <w:b/>
        </w:rPr>
        <w:t xml:space="preserve"> </w:t>
      </w:r>
      <w:r>
        <w:rPr>
          <w:bCs/>
          <w:b/>
        </w:rPr>
        <w:t xml:space="preserve">nor</w:t>
      </w:r>
      <w:r>
        <w:rPr>
          <w:bCs/>
          <w:b/>
        </w:rPr>
        <w:t xml:space="preserve"> </w:t>
      </w:r>
      <m:oMath>
        <m:sSub>
          <m:e>
            <m:r>
              <m:t>β</m:t>
            </m:r>
          </m:e>
          <m:sub>
            <m:r>
              <m:t>2</m:t>
            </m:r>
          </m:sub>
        </m:sSub>
      </m:oMath>
      <w:r>
        <w:rPr>
          <w:bCs/>
          <w:b/>
        </w:rPr>
        <w:t xml:space="preserve"> </w:t>
      </w:r>
      <w:r>
        <w:rPr>
          <w:bCs/>
          <w:b/>
        </w:rPr>
        <w:t xml:space="preserve">is statistically significant)</w:t>
      </w:r>
    </w:p>
    <w:p>
      <w:pPr>
        <w:numPr>
          <w:ilvl w:val="0"/>
          <w:numId w:val="1002"/>
        </w:numPr>
        <w:pStyle w:val="Compact"/>
      </w:pPr>
      <w:r>
        <w:rPr>
          <w:bCs/>
          <w:b/>
        </w:rPr>
        <w:t xml:space="preserve">C4</w:t>
      </w:r>
      <w:r>
        <w:t xml:space="preserve"> </w:t>
      </w:r>
      <w:r>
        <w:t xml:space="preserve">(Lind–Mehlum utest, Lind &amp; Mehlum, 2010): utest</w:t>
      </w:r>
      <w:r>
        <w:t xml:space="preserve"> </w:t>
      </w:r>
      <w:r>
        <w:rPr>
          <w:iCs/>
          <w:i/>
        </w:rPr>
        <w:t xml:space="preserve">p</w:t>
      </w:r>
      <w:r>
        <w:t xml:space="preserve"> </w:t>
      </w:r>
      <w:r>
        <w:t xml:space="preserve">= .941,</w:t>
      </w:r>
      <w:r>
        <w:t xml:space="preserve"> </w:t>
      </w:r>
      <w:r>
        <w:rPr>
          <w:bCs/>
          <w:b/>
        </w:rPr>
        <w:t xml:space="preserve">fails to reject the null of monotone negative relationship; no inverted-U detected</w:t>
      </w:r>
    </w:p>
    <w:p>
      <w:pPr>
        <w:pStyle w:val="FirstParagraph"/>
      </w:pPr>
      <w:r>
        <w:t xml:space="preserve">The pattern is</w:t>
      </w:r>
      <w:r>
        <w:t xml:space="preserve"> </w:t>
      </w:r>
      <w:r>
        <w:rPr>
          <w:bCs/>
          <w:b/>
        </w:rPr>
        <w:t xml:space="preserve">monotone negative</w:t>
      </w:r>
      <w:r>
        <w:t xml:space="preserve">: consistent with H1 and the FIP structural mechanism. There is no turning point within the observed FSTS range (0–1).</w:t>
      </w:r>
    </w:p>
    <w:bookmarkEnd w:id="34"/>
    <w:bookmarkStart w:id="35" w:name="X7c95bb97131b594aa7673109c051c80c5a0bcc4"/>
    <w:p>
      <w:pPr>
        <w:pStyle w:val="Heading3"/>
      </w:pPr>
      <w:r>
        <w:t xml:space="preserve">4.4 Robustness</w:t>
      </w:r>
    </w:p>
    <w:p>
      <w:pPr>
        <w:pStyle w:val="FirstParagraph"/>
      </w:pPr>
      <w:r>
        <w:t xml:space="preserve">We examine three additional specifications to assess the robustness of the FIP result.</w:t>
      </w:r>
    </w:p>
    <w:p>
      <w:pPr>
        <w:pStyle w:val="BodyText"/>
      </w:pPr>
      <w:r>
        <w:rPr>
          <w:bCs/>
          <w:b/>
        </w:rPr>
        <w:t xml:space="preserve">Specification M_yearFE (year fixed effects only)</w:t>
      </w:r>
      <w:r>
        <w:t xml:space="preserve">: Removing country fixed effects, which might absorb too much structural variation, yields a substantially larger negative effect:</w:t>
      </w:r>
    </w:p>
    <w:p>
      <w:pPr>
        <w:pStyle w:val="BodyText"/>
      </w:pPr>
      <m:oMath>
        <m:r>
          <m:t>β</m:t>
        </m:r>
      </m:oMath>
      <w:r>
        <w:t xml:space="preserve">(FSTS) =</w:t>
      </w:r>
      <w:r>
        <w:t xml:space="preserve"> </w:t>
      </w:r>
      <w:r>
        <w:rPr>
          <w:bCs/>
          <w:b/>
        </w:rPr>
        <w:t xml:space="preserve">−1.236</w:t>
      </w:r>
      <w:r>
        <w:t xml:space="preserve">, SE = 0.269, t = −4.594,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 (no controls) yields:</w:t>
      </w:r>
    </w:p>
    <w:p>
      <w:pPr>
        <w:pStyle w:val="BodyText"/>
      </w:pPr>
      <m:oMath>
        <m:r>
          <m:t>β</m:t>
        </m:r>
      </m:oMath>
      <w:r>
        <w:t xml:space="preserve">(FSTS) =</w:t>
      </w:r>
      <w:r>
        <w:t xml:space="preserve"> </w:t>
      </w:r>
      <w:r>
        <w:rPr>
          <w:bCs/>
          <w:b/>
        </w:rPr>
        <w:t xml:space="preserve">−1.596</w:t>
      </w:r>
      <w:r>
        <w:t xml:space="preserve">, SE = 0.263, t = −6.062, p =</w:t>
      </w:r>
      <w:r>
        <w:t xml:space="preserve"> </w:t>
      </w:r>
      <w:r>
        <w:rPr>
          <w:bCs/>
          <w:b/>
        </w:rPr>
        <w:t xml:space="preserve">&lt;.001</w:t>
      </w:r>
    </w:p>
    <w:p>
      <w:pPr>
        <w:pStyle w:val="BodyText"/>
      </w:pPr>
      <w:r>
        <w:t xml:space="preserve">The monotone negative pattern persists without any conditioning on firm characteristics, further confirming the robustness of FIP.</w:t>
      </w:r>
    </w:p>
    <w:p>
      <w:pPr>
        <w:pStyle w:val="BodyText"/>
      </w:pPr>
      <w:r>
        <w:rPr>
          <w:bCs/>
          <w:b/>
        </w:rPr>
        <w:t xml:space="preserve">Exporters-only subsample</w:t>
      </w:r>
      <w:r>
        <w:t xml:space="preserve"> </w:t>
      </w:r>
      <w:r>
        <w:t xml:space="preserve">(N = 187): Among the 187 active exporters (FSTS &gt; 0), the negative effect is:</w:t>
      </w:r>
    </w:p>
    <w:p>
      <w:pPr>
        <w:pStyle w:val="BodyText"/>
      </w:pPr>
      <m:oMath>
        <m:r>
          <m:t>β</m:t>
        </m:r>
      </m:oMath>
      <w:r>
        <w:t xml:space="preserve">(</w:t>
      </w:r>
      <m:oMath>
        <m:sSub>
          <m:e>
            <m:r>
              <m:rPr>
                <m:nor/>
                <m:sty m:val="p"/>
              </m:rPr>
              <m:t>FSTS</m:t>
            </m:r>
          </m:e>
          <m:sub>
            <m:r>
              <m:t>c</m:t>
            </m:r>
          </m:sub>
        </m:sSub>
      </m:oMath>
      <w:r>
        <w:t xml:space="preserve">) =</w:t>
      </w:r>
      <w:r>
        <w:t xml:space="preserve"> </w:t>
      </w:r>
      <w:r>
        <w:rPr>
          <w:bCs/>
          <w:b/>
        </w:rPr>
        <w:t xml:space="preserve">−0.901</w:t>
      </w:r>
      <w:r>
        <w:t xml:space="preserve">, SE = 0.398, p =</w:t>
      </w:r>
      <w:r>
        <w:t xml:space="preserve"> </w:t>
      </w:r>
      <w:r>
        <w:rPr>
          <w:bCs/>
          <w:b/>
        </w:rPr>
        <w:t xml:space="preserve">.027</w:t>
      </w:r>
    </w:p>
    <w:p>
      <w:pPr>
        <w:pStyle w:val="BodyText"/>
      </w:pPr>
      <w:r>
        <w:t xml:space="preserve">This result is critical: even among firms that have successfully engaged in exporting, higher export intensity is associated with lower productivity. This rules out a simple selection explanation (e.g., that only low-productivity firms are excluded from exporting, driving the pooled negative correlation). Among actual exporters, intensifying exports further worsens performance, which is the hallmark of the FIP mechanism rather than of adverse selection.</w:t>
      </w:r>
    </w:p>
    <w:bookmarkEnd w:id="35"/>
    <w:bookmarkStart w:id="36" w:name="Xb09bd355cfef31bfb4a34bc8569e299208ad4bf"/>
    <w:p>
      <w:pPr>
        <w:pStyle w:val="Heading3"/>
      </w:pPr>
      <w:r>
        <w:t xml:space="preserve">4.5 Capability Null Results (H2)</w:t>
      </w:r>
    </w:p>
    <w:p>
      <w:pPr>
        <w:pStyle w:val="FirstParagraph"/>
      </w:pPr>
      <w:r>
        <w:rPr>
          <w:bCs/>
          <w:b/>
        </w:rPr>
        <w:t xml:space="preserve">M3</w:t>
      </w:r>
      <w:r>
        <w:t xml:space="preserve"> </w:t>
      </w:r>
      <w:r>
        <w:t xml:space="preserve">introduces</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as additional regressors to test H2. Neither variable achieves statistical significance:</w:t>
      </w:r>
    </w:p>
    <w:p>
      <w:pPr>
        <w:pStyle w:val="BodyText"/>
      </w:pPr>
      <m:oMath>
        <m:r>
          <m:t>β</m:t>
        </m:r>
      </m:oMath>
      <w:r>
        <w:t xml:space="preserve">(</w:t>
      </w:r>
      <m:oMath>
        <m:sSub>
          <m:e>
            <m:r>
              <m:rPr>
                <m:nor/>
                <m:sty m:val="p"/>
              </m:rPr>
              <m:t>TCI</m:t>
            </m:r>
          </m:e>
          <m:sub>
            <m:r>
              <m:t>z</m:t>
            </m:r>
          </m:sub>
        </m:sSub>
      </m:oMath>
      <w:r>
        <w:t xml:space="preserve">) = +0.058, SE = 0.085, p = .495 (n.s.)</w:t>
      </w:r>
      <w:r>
        <w:t xml:space="preserve"> </w:t>
      </w:r>
      <m:oMath>
        <m:r>
          <m:t>β</m:t>
        </m:r>
      </m:oMath>
      <w:r>
        <w:t xml:space="preserve">(</w:t>
      </w:r>
      <m:oMath>
        <m:sSub>
          <m:e>
            <m:r>
              <m:rPr>
                <m:nor/>
                <m:sty m:val="p"/>
              </m:rPr>
              <m:t>DAI</m:t>
            </m:r>
          </m:e>
          <m:sub>
            <m:r>
              <m:t>z</m:t>
            </m:r>
          </m:sub>
        </m:sSub>
      </m:oMath>
      <w:r>
        <w:t xml:space="preserve">) = +0.062, SE = 0.073, p = .402 (n.s.)</w:t>
      </w:r>
    </w:p>
    <w:p>
      <w:pPr>
        <w:pStyle w:val="BodyText"/>
      </w:pPr>
      <w:r>
        <w:t xml:space="preserve">The FIP coefficient (</w:t>
      </w:r>
      <m:oMath>
        <m:sSub>
          <m:e>
            <m:r>
              <m:rPr>
                <m:nor/>
                <m:sty m:val="p"/>
              </m:rPr>
              <m:t>FSTS</m:t>
            </m:r>
          </m:e>
          <m:sub>
            <m:r>
              <m:t>c</m:t>
            </m:r>
          </m:sub>
        </m:sSub>
      </m:oMath>
      <w:r>
        <w:t xml:space="preserve">) remains negative but loses significance in M3 (</w:t>
      </w:r>
      <m:oMath>
        <m:r>
          <m:t>β</m:t>
        </m:r>
      </m:oMath>
      <w:r>
        <w:t xml:space="preserve"> </w:t>
      </w:r>
      <w:r>
        <w:t xml:space="preserve">= −0.974, p = .252), likely reflecting the substantially reduced sample (N = 526 for M3, versus N = 1,469 for M1, due to missing capability variables). The direction of the</w:t>
      </w:r>
      <w:r>
        <w:t xml:space="preserve"> </w:t>
      </w:r>
      <m:oMath>
        <m:sSub>
          <m:e>
            <m:r>
              <m:rPr>
                <m:nor/>
                <m:sty m:val="p"/>
              </m:rPr>
              <m:t>FSTS</m:t>
            </m:r>
          </m:e>
          <m:sub>
            <m:r>
              <m:t>c</m:t>
            </m:r>
          </m:sub>
        </m:sSub>
      </m:oMath>
      <w:r>
        <w:t xml:space="preserve"> </w:t>
      </w:r>
      <w:r>
        <w:t xml:space="preserve">coefficient remains negative and numerically larger in M3, consistent with FIP; the significance loss is attributable to power reduction from the subsample restriction.</w:t>
      </w:r>
    </w:p>
    <w:p>
      <w:pPr>
        <w:pStyle w:val="BodyText"/>
      </w:pPr>
      <w:r>
        <w:t xml:space="preserve">These results are consistent with H2 (non-moderation): technological capability (</w:t>
      </w:r>
      <m:oMath>
        <m:sSub>
          <m:e>
            <m:r>
              <m:rPr>
                <m:nor/>
                <m:sty m:val="p"/>
              </m:rPr>
              <m:t>TCI</m:t>
            </m:r>
          </m:e>
          <m:sub>
            <m:r>
              <m:t>z</m:t>
            </m:r>
          </m:sub>
        </m:sSub>
      </m:oMath>
      <w:r>
        <w:t xml:space="preserve">:</w:t>
      </w:r>
      <w:r>
        <w:t xml:space="preserve"> </w:t>
      </w:r>
      <m:oMath>
        <m:r>
          <m:t>β</m:t>
        </m:r>
      </m:oMath>
      <w:r>
        <w:t xml:space="preserve"> </w:t>
      </w:r>
      <w:r>
        <w:t xml:space="preserve">= +0.058, SE = 0.085, p = .495) and digital adoption (</w:t>
      </w:r>
      <m:oMath>
        <m:sSub>
          <m:e>
            <m:r>
              <m:rPr>
                <m:nor/>
                <m:sty m:val="p"/>
              </m:rPr>
              <m:t>DAI</m:t>
            </m:r>
          </m:e>
          <m:sub>
            <m:r>
              <m:t>z</m:t>
            </m:r>
          </m:sub>
        </m:sSub>
      </m:oMath>
      <w:r>
        <w:t xml:space="preserve">:</w:t>
      </w:r>
      <w:r>
        <w:t xml:space="preserve"> </w:t>
      </w:r>
      <m:oMath>
        <m:r>
          <m:t>β</m:t>
        </m:r>
      </m:oMath>
      <w:r>
        <w:t xml:space="preserve"> </w:t>
      </w:r>
      <w:r>
        <w:t xml:space="preserve">= +0.062, SE = 0.073, p = .402) do not statistically significantly moderate the I-P relationship in Pacific SIDS, consistent with the FIP mechanism overwhelming capability effects in structurally constrained SIDS economies. The positive point estimates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while small and non-significant,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6"/>
    <w:bookmarkStart w:id="37" w:name="X6c093959484b3f9d4e201eec1d461ec8d4bd970"/>
    <w:p>
      <w:pPr>
        <w:pStyle w:val="Heading3"/>
      </w:pPr>
      <w:r>
        <w:t xml:space="preserve">4.6 Summary</w:t>
      </w:r>
    </w:p>
    <w:p>
      <w:pPr>
        <w:pStyle w:val="FirstParagraph"/>
      </w:pPr>
      <w:r>
        <w:t xml:space="preserve">Table 2 summarizes the full coefficient matrix. The FIP pattern is confirmed: (i) a statistically significant negative linear FSTS–performance relationship (M1:</w:t>
      </w:r>
      <w:r>
        <w:t xml:space="preserve"> </w:t>
      </w:r>
      <m:oMath>
        <m:r>
          <m:t>β</m:t>
        </m:r>
      </m:oMath>
      <w:r>
        <w:t xml:space="preserve"> </w:t>
      </w:r>
      <w:r>
        <w:t xml:space="preserve">= −0.404, p = .032); (ii) no significant quadratic curvature or turning point (M2: both</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w:t>
      </w:r>
      <w:r>
        <w:t xml:space="preserve">non-significant); (iii) robustly negative across four specifications (M_yearFE:</w:t>
      </w:r>
      <w:r>
        <w:t xml:space="preserve"> </w:t>
      </w:r>
      <m:oMath>
        <m:r>
          <m:t>β</m:t>
        </m:r>
      </m:oMath>
      <w:r>
        <w:t xml:space="preserve"> </w:t>
      </w:r>
      <w:r>
        <w:t xml:space="preserve">= −1.236, p &lt; .001; M_bivariate:</w:t>
      </w:r>
      <w:r>
        <w:t xml:space="preserve"> </w:t>
      </w:r>
      <m:oMath>
        <m:r>
          <m:t>β</m:t>
        </m:r>
      </m:oMath>
      <w:r>
        <w:t xml:space="preserve"> </w:t>
      </w:r>
      <w:r>
        <w:t xml:space="preserve">= −1.596, p &lt; .001; exporters-only:</w:t>
      </w:r>
      <w:r>
        <w:t xml:space="preserve"> </w:t>
      </w:r>
      <m:oMath>
        <m:r>
          <m:t>β</m:t>
        </m:r>
      </m:oMath>
      <w:r>
        <w:t xml:space="preserve"> </w:t>
      </w:r>
      <w:r>
        <w:t xml:space="preserve">= −0.901, p = .027); and (iv) null capability moderation (M3:</w:t>
      </w:r>
      <w:r>
        <w:t xml:space="preserve"> </w:t>
      </w:r>
      <m:oMath>
        <m:sSub>
          <m:e>
            <m:r>
              <m:rPr>
                <m:nor/>
                <m:sty m:val="p"/>
              </m:rPr>
              <m:t>TCI</m:t>
            </m:r>
          </m:e>
          <m:sub>
            <m:r>
              <m:t>z</m:t>
            </m:r>
          </m:sub>
        </m:sSub>
      </m:oMath>
      <w:r>
        <w:t xml:space="preserve"> </w:t>
      </w:r>
      <w:r>
        <w:t xml:space="preserve">p = .495;</w:t>
      </w:r>
      <w:r>
        <w:t xml:space="preserve"> </w:t>
      </w:r>
      <m:oMath>
        <m:sSub>
          <m:e>
            <m:r>
              <m:rPr>
                <m:nor/>
                <m:sty m:val="p"/>
              </m:rPr>
              <m:t>DAI</m:t>
            </m:r>
          </m:e>
          <m:sub>
            <m:r>
              <m:t>z</m:t>
            </m:r>
          </m:sub>
        </m:sSub>
      </m:oMath>
      <w:r>
        <w:t xml:space="preserve"> </w:t>
      </w:r>
      <w:r>
        <w:t xml:space="preserve">p = .402).</w:t>
      </w:r>
    </w:p>
    <w:p>
      <w:r>
        <w:pict>
          <v:rect style="width:0;height:1.5pt" o:hralign="center" o:hrstd="t" o:hr="t"/>
        </w:pict>
      </w:r>
    </w:p>
    <w:bookmarkEnd w:id="37"/>
    <w:bookmarkEnd w:id="38"/>
    <w:bookmarkStart w:id="44" w:name="X735612638e4e736e4693e459c258977262c0dfc"/>
    <w:p>
      <w:pPr>
        <w:pStyle w:val="Heading2"/>
      </w:pPr>
      <w:r>
        <w:t xml:space="preserve">5. Discussion</w:t>
      </w:r>
    </w:p>
    <w:bookmarkStart w:id="39" w:name="X756057e5c11f0c9dd39f4fea415a3ea89277fd3"/>
    <w:p>
      <w:pPr>
        <w:pStyle w:val="Heading3"/>
      </w:pPr>
      <w:r>
        <w:t xml:space="preserve">5.1 FIP as Boundary Condition for the Inverted-U Paradigm</w:t>
      </w:r>
    </w:p>
    <w:p>
      <w:pPr>
        <w:pStyle w:val="FirstParagraph"/>
      </w:pPr>
      <w:r>
        <w:t xml:space="preserve">Our central finding is that the inverted-U I-P relationship does not hold in Pacific SIDS. Instead of a curvilinear pattern with a positive phase, the data show a monotone negative relationship. It persists across four modeling specifications, and it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and firms cannot accumulate the home-base resources and organizational capabilities that fund and sustain profitable internationalization. When trade costs amplify the "cost of doing business" of export revenues by 30–210% (Winters &amp; Martins, 2004), the marginal economics of exporting are negative from the outset. And when institutional voids are comprehensive, with absent trade finance intermediaries, unreliable contract enforcement, and limited standards infrastructure, firms cannot appropriate the learning and scale benefits that internationalization theory promises.</w:t>
      </w:r>
    </w:p>
    <w:p>
      <w:pPr>
        <w:pStyle w:val="BodyText"/>
      </w:pPr>
      <w:r>
        <w:t xml:space="preserve">This reframes the inverted-U from a universal empirical regularity into a</w:t>
      </w:r>
      <w:r>
        <w:t xml:space="preserve"> </w:t>
      </w:r>
      <w:r>
        <w:rPr>
          <w:iCs/>
          <w:i/>
        </w:rPr>
        <w:t xml:space="preserve">conditional</w:t>
      </w:r>
      <w:r>
        <w:t xml:space="preserve"> </w:t>
      </w:r>
      <w:r>
        <w:t xml:space="preserve">relationship: it holds when and because the structural prerequisites are satisfied. The existing literature's finding that institutional quality</w:t>
      </w:r>
      <w:r>
        <w:t xml:space="preserve"> </w:t>
      </w:r>
      <w:r>
        <w:rPr>
          <w:iCs/>
          <w:i/>
        </w:rPr>
        <w:t xml:space="preserve">moderates</w:t>
      </w:r>
      <w:r>
        <w:t xml:space="preserve"> </w:t>
      </w:r>
      <w:r>
        <w:t xml:space="preserve">the I-P relationship (Marano et al., 2016) is then a special case of a more general theoretical relationship. When institutional conditions cross a structural threshold from "weaker moderation" to "violated prerequisites," the sign of the I-P relationship reverses, not merely its magnitude.</w:t>
      </w:r>
    </w:p>
    <w:p>
      <w:pPr>
        <w:pStyle w:val="BodyText"/>
      </w:pPr>
      <w:r>
        <w:t xml:space="preserve">Read this way, conventional theory and FIP are the two poles of a single continuum rather than a rule and its exception. At the strong-institution pole, internationalization is internationalization-to-scale: a firm such as a Singaporean exporter operates on the long ascending limb where exporting optimizes profit margins, and the turning point arrives very late because the home base, trade costs, and institutions all permit scale and learning gains to be appropriated. At the opposite pole, internationalization is internationalization-to-survive: SIDS firms are forced to export despite trade-cost amplifications that erode all profit, and the curve collapses into a monotone negative line. The value of the FIP pole is not that it is rare but that it is diagnostic. It is the theoretically most revealing case precisely because it is the singularity at which the inverted-U breaks down, and where the breakdown lays bare the structural prerequisites the standard model assumes but leaves unstated. The conventional curve never had to declare its dependence on a viable home market, on bearable logistics, and on functioning institutions, because in mainstream samples those conditions are always present; only at the FIP pole, where they vanish together, does that hidden dependence become observable. FIP therefore contributes a general boundary condition to institutional moderation theory: it specifies the limit at which moderation of degree gives way to determination of sign.</w:t>
      </w:r>
    </w:p>
    <w:bookmarkEnd w:id="39"/>
    <w:bookmarkStart w:id="40" w:name="X0f7881790c29927869278ccfdf374374fedd8e4"/>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Our findings point to a change in</w:t>
      </w:r>
      <w:r>
        <w:t xml:space="preserve"> </w:t>
      </w:r>
      <w:r>
        <w:rPr>
          <w:iCs/>
          <w:i/>
        </w:rPr>
        <w:t xml:space="preserve">kind</w:t>
      </w:r>
      <w:r>
        <w:t xml:space="preserve">. At the extreme end of the institutional spectrum, where all three structural prerequisites are absent at once, the I-P functional form is not a modified inverted-U but a qualitatively different pattern, namely a monotone negative one. This extends the theoretical vocabulary of IB research beyond "intensity moderation" toward "existence moderation" of the I-P relationship.</w:t>
      </w:r>
    </w:p>
    <w:p>
      <w:pPr>
        <w:pStyle w:val="BodyText"/>
      </w:pPr>
      <w:r>
        <w:t xml:space="preserve">The finding connects to the broader question of boundary conditions in IB theory (Verbeke &amp; Brugman, 2018; Hennart, 2007). If mainstream I-P theories are derived from samples of economies where the structural prerequisites are broadly satisfied, those theories may be systematically inapplicable to the SIDS context. They would not merely need adjustment; they would represent a qualitatively different theoretical regime. FIP offers a theoretically grounded label for that alternative regime.</w:t>
      </w:r>
    </w:p>
    <w:bookmarkEnd w:id="40"/>
    <w:bookmarkStart w:id="41" w:name="X8a30c3062e38861be110fa8b68be2e42e1dcb57"/>
    <w:p>
      <w:pPr>
        <w:pStyle w:val="Heading3"/>
      </w:pPr>
      <w:r>
        <w:t xml:space="preserve">5.3 The Capability Null: Institutional Determination vs. Moderation</w:t>
      </w:r>
    </w:p>
    <w:p>
      <w:pPr>
        <w:pStyle w:val="FirstParagraph"/>
      </w:pPr>
      <w:r>
        <w:t xml:space="preserve">The null results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in M3 add a second dimension to the FIP theory. In mainland Asian contexts, including Vietnam, Singapore, China, and multi-country samples, technological capability and digital adoption are statistically significant moderators of the I-P relationship (Goedhuys &amp; Sleuwaegen, 2013; Teece, 2007). Why, then,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 inverted-U, but FIP operates at a structural, pre-organizational level. A SIDS firm with ISO 9001 certification (high TCI) still faces the same 30–210% trade cost amplifications; a SIDS firm with a functioning website (DAI = 1) still faces absent trade finance institutions. Capabilities that act as powerful moderators within the structural prerequisites framework become ineffective once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 "trapped" inside the firm, unable to translate into performance advantages through international market transactions.</w:t>
      </w:r>
    </w:p>
    <w:p>
      <w:pPr>
        <w:pStyle w:val="BodyText"/>
      </w:pPr>
      <w:r>
        <w:t xml:space="preserve">The positive though non-significant point estimates for</w:t>
      </w:r>
      <w:r>
        <w:t xml:space="preserve"> </w:t>
      </w:r>
      <m:oMath>
        <m:sSub>
          <m:e>
            <m:r>
              <m:rPr>
                <m:nor/>
                <m:sty m:val="p"/>
              </m:rPr>
              <m:t>TCI</m:t>
            </m:r>
          </m:e>
          <m:sub>
            <m:r>
              <m:t>z</m:t>
            </m:r>
          </m:sub>
        </m:sSub>
      </m:oMath>
      <w:r>
        <w:t xml:space="preserve"> </w:t>
      </w:r>
      <w:r>
        <w:t xml:space="preserve">and</w:t>
      </w:r>
      <w:r>
        <w:t xml:space="preserve"> </w:t>
      </w:r>
      <m:oMath>
        <m:sSub>
          <m:e>
            <m:r>
              <m:rPr>
                <m:nor/>
                <m:sty m:val="p"/>
              </m:rPr>
              <m:t>DAI</m:t>
            </m:r>
          </m:e>
          <m:sub>
            <m:r>
              <m:t>z</m:t>
            </m:r>
          </m:sub>
        </m:sSub>
      </m:oMath>
      <w:r>
        <w:t xml:space="preserve"> </w:t>
      </w:r>
      <w:r>
        <w:t xml:space="preserve">suggest that capabilities do raise general productivity levels, consistent with their role in the broader literature, yet they cannot modify the negative directionality of the FSTS–performance relationship in the SIDS structural context. This nuance, that capabilities help the level and not the slope, may be a productive direction for future SIDS research.</w:t>
      </w:r>
    </w:p>
    <w:bookmarkEnd w:id="41"/>
    <w:bookmarkStart w:id="42" w:name="X8bcfb993ada7fae012c0a3b08b0e9a3dc544172"/>
    <w:p>
      <w:pPr>
        <w:pStyle w:val="Heading3"/>
      </w:pPr>
      <w:r>
        <w:t xml:space="preserve">5.4 Policy Implications: The Antigua and Barbuda Agenda</w:t>
      </w:r>
    </w:p>
    <w:p>
      <w:pPr>
        <w:pStyle w:val="FirstParagraph"/>
      </w:pPr>
      <w:r>
        <w:t xml:space="preserve">Our findings have direct implications for SIDS development policy. The Antigua and Barbuda Agenda for SIDS (United Nations General Assembly, 2024), adopted at the Fourth International Conference on SIDS,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Our results caution against this assumption. If FIP is a structural feature of Pacific SIDS firm economies, then policies that push SIDS firms toward higher export intensity, without addressing the violated structural prerequisites in parallel, may worsen firm performance at the micro level even while they improve macroeconomic trade balances. The relevant policy question becomes: which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the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such as standards bodies, trade finance intermediaries, and export promotion agencies with genuine capacity, may address the FIP mechanism more directly than generic governance reform. Goedhuys and Sleuwaegen's (2013) evidence on international certification is instructive here. Their finding that ISO certification improves firm productivity is consistent with the null TCI result reported above if certification's productivity benefit is conditional on institutions that support standards enforcement and customer recognition, the very conditions absent in the SIDS context.</w:t>
      </w:r>
    </w:p>
    <w:bookmarkEnd w:id="42"/>
    <w:bookmarkStart w:id="43" w:name="Xde7edcb3f604b7ff7a62d585547252a5b42f172"/>
    <w:p>
      <w:pPr>
        <w:pStyle w:val="Heading3"/>
      </w:pPr>
      <w:r>
        <w:t xml:space="preserve">5.5 Limitations</w:t>
      </w:r>
    </w:p>
    <w:p>
      <w:pPr>
        <w:pStyle w:val="FirstParagraph"/>
      </w:pPr>
      <w:r>
        <w:t xml:space="preserve">Several limitations bound the interpretation of our findings.</w:t>
      </w:r>
    </w:p>
    <w:p>
      <w:pPr>
        <w:pStyle w:val="BodyText"/>
      </w:pPr>
      <w:r>
        <w:t xml:space="preserve">First,</w:t>
      </w:r>
      <w:r>
        <w:t xml:space="preserve"> </w:t>
      </w:r>
      <w:r>
        <w:rPr>
          <w:bCs/>
          <w:b/>
        </w:rPr>
        <w:t xml:space="preserve">cross-sectional pooled structure</w:t>
      </w:r>
      <w:r>
        <w:t xml:space="preserve">: although we pool across multiple country-year waves (2009–2025), few SIDS economies have more than one WBES wave (see Table 1), which limits panel identification of causal effects. The FIP estimate is identified primarily from cross-sectional variation in FSTS within country-year cells. Future work using panel data, where available for Fiji and Papua New Guinea, both of which have two waves, could strengthen causal identification.</w:t>
      </w:r>
    </w:p>
    <w:p>
      <w:pPr>
        <w:pStyle w:val="BodyText"/>
      </w:pPr>
      <w:r>
        <w:t xml:space="preserve">Second,</w:t>
      </w:r>
      <w:r>
        <w:t xml:space="preserve"> </w:t>
      </w:r>
      <w:r>
        <w:rPr>
          <w:bCs/>
          <w:b/>
        </w:rPr>
        <w:t xml:space="preserve">FSTS measurement in thin-export contexts</w:t>
      </w:r>
      <w:r>
        <w:t xml:space="preserve">: with a mean FSTS of 0.060 and only 12.7% exporters, the FSTS distribution is highly right-skewed. Coefficient estimates in M2 may be sensitive to a handful of high-FSTS outliers, so the non-significant quadratic results should be read with caution.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a foundational and static indicator. This is appropriate for the SIDS context given the limited availability of more advanced digital infrastructure indicators in WBES, but it does mean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to arise when three structural prerequisites are absent at once. Other extreme contexts, such as Saharan micro-states, remote highland economies, and post-conflict settings, may exhibit similar patterns. Caribbean SIDS, which are not included in our sample, represent a natural extension context.</w:t>
      </w:r>
    </w:p>
    <w:p>
      <w:r>
        <w:pict>
          <v:rect style="width:0;height:1.5pt" o:hralign="center" o:hrstd="t" o:hr="t"/>
        </w:pict>
      </w:r>
    </w:p>
    <w:bookmarkEnd w:id="43"/>
    <w:bookmarkEnd w:id="44"/>
    <w:bookmarkStart w:id="45" w:name="X56025c6d9dbf7520f7a7df11f905cdd09f46e4a"/>
    <w:p>
      <w:pPr>
        <w:pStyle w:val="Heading2"/>
      </w:pPr>
      <w:r>
        <w:t xml:space="preserve">6. Conclusions</w:t>
      </w:r>
    </w:p>
    <w:p>
      <w:pPr>
        <w:pStyle w:val="FirstParagraph"/>
      </w:pPr>
      <w:r>
        <w:t xml:space="preserve">This study introduced the Forced Internationalization Penalty (FIP), the monotone negative effect of internationalization intensity on firm performance when three structural prerequisites of the inverted-U relationship are absent at once: a viable domestic market, manageable trade costs, and functional institutional support. Using WBES data from 1,469 firms across nine Pacific SIDS economies, we find robust support for FIP across four empirical specifications (</w:t>
      </w:r>
      <m:oMath>
        <m:r>
          <m:t>β</m:t>
        </m:r>
      </m:oMath>
      <w:r>
        <w:t xml:space="preserve"> </w:t>
      </w:r>
      <w:r>
        <w:t xml:space="preserve">= −0.404, p = .032 in the primary country-and-year fixed-effects model;</w:t>
      </w:r>
      <w:r>
        <w:t xml:space="preserve"> </w:t>
      </w:r>
      <m:oMath>
        <m:r>
          <m:t>β</m:t>
        </m:r>
      </m:oMath>
      <w:r>
        <w:t xml:space="preserve"> </w:t>
      </w:r>
      <w:r>
        <w:t xml:space="preserve">= −1.236, p &lt; .001 without country fixed effects;</w:t>
      </w:r>
      <w:r>
        <w:t xml:space="preserve"> </w:t>
      </w:r>
      <m:oMath>
        <m:r>
          <m:t>β</m:t>
        </m:r>
      </m:oMath>
      <w:r>
        <w:t xml:space="preserve"> </w:t>
      </w:r>
      <w:r>
        <w:t xml:space="preserve">= −0.901, p = .027 in the exporters-only subsample). The quadratic term is not significant, which confirms the monotone negative form with no observable turning point. Technological capability and digital adoption, both significant in mainland Asian contexts, are null in the SIDS environment, consistent with the FIP theoretical mechanism.</w:t>
      </w:r>
    </w:p>
    <w:p>
      <w:pPr>
        <w:pStyle w:val="BodyText"/>
      </w:pPr>
      <w:r>
        <w:t xml:space="preserve">These findings contribute to IB theory in two ways. First, they help reorient the discourse on institutional effects from "institutional moderation of I-P intensity" toward "institutional determination of I-P sign," which establishes the inverted-U as conditional on structural prerequisites rather than universal. FIP and conventional theory are best understood as the two poles of one continuum: internationalization-to-scale, where exporting optimizes margins and the turning point is very late, and internationalization-to-survive, where firms are compelled to export despite profit-eroding logistics costs and the curve collapses to a monotone negative line. The SIDS case is valuable not because it is exotic but because it is the singularity at which the standard model breaks down and thereby reveals the prerequisites it silently assumes; FIP names that limiting regime and supplies a general boundary condition for institutional moderation theory. Second, they extend the application of "forced internationalization" beyond the SME literature into the performance-outcome domain, providing a theoretically defined and empirically grounded construct, FIP, that future research can build upon.</w:t>
      </w:r>
    </w:p>
    <w:p>
      <w:pPr>
        <w:pStyle w:val="BodyText"/>
      </w:pPr>
      <w:r>
        <w:t xml:space="preserve">For the world development policy agenda, FIP suggests that export promotion strategies in SIDS require complementary structural interventions. These should address trade costs, domestic market viability through regional integration, and targeted institutional development, rather than the intensification of export activity on its own.</w:t>
      </w:r>
    </w:p>
    <w:p>
      <w:r>
        <w:pict>
          <v:rect style="width:0;height:1.5pt" o:hralign="center" o:hrstd="t" o:hr="t"/>
        </w:pict>
      </w:r>
    </w:p>
    <w:bookmarkEnd w:id="45"/>
    <w:bookmarkStart w:id="47" w:name="acknowledgements"/>
    <w:p>
      <w:pPr>
        <w:pStyle w:val="Heading2"/>
      </w:pPr>
      <w:r>
        <w:t xml:space="preserve">Acknowledgements</w:t>
      </w:r>
    </w:p>
    <w:p>
      <w:pPr>
        <w:pStyle w:val="FirstParagraph"/>
      </w:pPr>
      <w:r>
        <w:t xml:space="preserve">Source: World Bank Enterprise Surveys (WBES),</w:t>
      </w:r>
      <w:r>
        <w:t xml:space="preserve"> </w:t>
      </w:r>
      <w:hyperlink r:id="rId46">
        <w:r>
          <w:rPr>
            <w:rStyle w:val="Hyperlink"/>
          </w:rPr>
          <w:t xml:space="preserve">www.enterprisesurveys.org</w:t>
        </w:r>
      </w:hyperlink>
      <w:r>
        <w:t xml:space="preserve">. We thank the Enterprise Analysis Unit of the Development Economics Global Indicators Group of the World Bank for the data. The user of the data acknowledges that the original collector of the data, the authorised distributor of the data, and the relevant funding agency bear no responsibility for use of the data or for interpretations or inferences based upon such uses. The findings, interpretations, and conclusions expressed in this paper are entirely those of the authors and do not necessarily represent the views of the World Bank Group, its Executive Directors, or the governments they represent.</w:t>
      </w:r>
    </w:p>
    <w:bookmarkEnd w:id="47"/>
    <w:bookmarkStart w:id="48" w:name="funding"/>
    <w:p>
      <w:pPr>
        <w:pStyle w:val="Heading2"/>
      </w:pPr>
      <w:r>
        <w:t xml:space="preserve">Funding</w:t>
      </w:r>
    </w:p>
    <w:p>
      <w:pPr>
        <w:pStyle w:val="FirstParagraph"/>
      </w:pPr>
      <w:r>
        <w:t xml:space="preserve">The authors received no specific grant from any funding agency in the public, commercial, or not-for-profit sectors for the research, authorship, or publication of this article.</w:t>
      </w:r>
    </w:p>
    <w:bookmarkEnd w:id="48"/>
    <w:bookmarkStart w:id="49" w:name="declaration-of-competing-interests"/>
    <w:p>
      <w:pPr>
        <w:pStyle w:val="Heading2"/>
      </w:pPr>
      <w:r>
        <w:t xml:space="preserve">Declaration of Competing Interests</w:t>
      </w:r>
    </w:p>
    <w:p>
      <w:pPr>
        <w:pStyle w:val="FirstParagraph"/>
      </w:pPr>
      <w:r>
        <w:t xml:space="preserve">The authors declare that they have no known competing financial interests or personal relationships that could have appeared to influence the work reported in this paper.</w:t>
      </w:r>
    </w:p>
    <w:bookmarkEnd w:id="49"/>
    <w:bookmarkStart w:id="50" w:name="credit-author-statement"/>
    <w:p>
      <w:pPr>
        <w:pStyle w:val="Heading2"/>
      </w:pPr>
      <w:r>
        <w:t xml:space="preserve">CRediT Author Statement</w:t>
      </w:r>
    </w:p>
    <w:p>
      <w:pPr>
        <w:pStyle w:val="FirstParagraph"/>
      </w:pPr>
      <w:r>
        <w:rPr>
          <w:iCs/>
          <w:i/>
        </w:rPr>
        <w:t xml:space="preserve">Author 1 (corresponding):</w:t>
      </w:r>
      <w:r>
        <w:t xml:space="preserve"> </w:t>
      </w:r>
      <w:r>
        <w:t xml:space="preserve">Conceptualization, Methodology, Data curation, Formal analysis, Writing — original draft.</w:t>
      </w:r>
      <w:r>
        <w:t xml:space="preserve"> </w:t>
      </w:r>
      <w:r>
        <w:rPr>
          <w:iCs/>
          <w:i/>
        </w:rPr>
        <w:t xml:space="preserve">Author 2:</w:t>
      </w:r>
      <w:r>
        <w:t xml:space="preserve"> </w:t>
      </w:r>
      <w:r>
        <w:t xml:space="preserve">Conceptualization, Methodology, Writing — review &amp; editing, Supervision. (Full author identities provided in separate Title Page; CRediT terms per Brand et al., 2015.)</w:t>
      </w:r>
    </w:p>
    <w:bookmarkEnd w:id="50"/>
    <w:bookmarkStart w:id="51" w:name="Xfd35355eaff5be7167e13ac5f8f9ba5509cc5e8"/>
    <w:p>
      <w:pPr>
        <w:pStyle w:val="Heading2"/>
      </w:pPr>
      <w:r>
        <w:t xml:space="preserve">Declaration of Generative AI and AI-Assisted Technologies</w:t>
      </w:r>
    </w:p>
    <w:p>
      <w:pPr>
        <w:pStyle w:val="FirstParagraph"/>
      </w:pPr>
      <w:r>
        <w:t xml:space="preserve">During the preparation of this work the authors used large-language-model assistants to support: (i) language polishing of draft prose at the sentence level; (ii) consistency checking of statistical notation and APA 7 reference formatting; and (iii) preliminary screening of WBES variable codes against the harmonisation protocol. After using these tools, the authors reviewed and edited the content as needed and take full responsibility for the content of the published article. No AI tool was used for analytic decisions, hypothesis development, or interpretation of empirical results.</w:t>
      </w:r>
    </w:p>
    <w:bookmarkEnd w:id="51"/>
    <w:bookmarkStart w:id="53" w:name="data-availability-statement"/>
    <w:p>
      <w:pPr>
        <w:pStyle w:val="Heading2"/>
      </w:pPr>
      <w:r>
        <w:t xml:space="preserve">Data Availability Statement</w:t>
      </w:r>
    </w:p>
    <w:p>
      <w:pPr>
        <w:pStyle w:val="FirstParagraph"/>
      </w:pPr>
      <w:r>
        <w:t xml:space="preserve">The World Bank Enterprise Survey microdata used in this study are publicly available at</w:t>
      </w:r>
      <w:r>
        <w:t xml:space="preserve"> </w:t>
      </w:r>
      <w:hyperlink r:id="rId52">
        <w:r>
          <w:rPr>
            <w:rStyle w:val="Hyperlink"/>
          </w:rPr>
          <w:t xml:space="preserve">https://www.enterprisesurveys.org</w:t>
        </w:r>
      </w:hyperlink>
      <w:r>
        <w:t xml:space="preserve"> </w:t>
      </w:r>
      <w:r>
        <w:t xml:space="preserve">(accessed during May 2025–April 2026 for the nine Pacific SIDS waves analysed). The harmonisation protocol, derived variable construction code, and replication scripts that reproduce the regression results reported in §4 are available from the corresponding author on reasonable request; a fully anonymised replication archive will be deposited on OSF upon acceptance.</w:t>
      </w:r>
    </w:p>
    <w:p>
      <w:r>
        <w:pict>
          <v:rect style="width:0;height:1.5pt" o:hralign="center" o:hrstd="t" o:hr="t"/>
        </w:pict>
      </w:r>
    </w:p>
    <w:bookmarkEnd w:id="53"/>
    <w:bookmarkStart w:id="57"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4">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55">
        <w:r>
          <w:rPr>
            <w:rStyle w:val="Hyperlink"/>
          </w:rPr>
          <w:t xml:space="preserve">https://data360.worldbank.org/en/int/atlas/artificial-intelligence</w:t>
        </w:r>
      </w:hyperlink>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56">
        <w:r>
          <w:rPr>
            <w:rStyle w:val="Hyperlink"/>
          </w:rPr>
          <w:t xml:space="preserve">https://data360.worldbank.org/en/int/atlas/global-progress</w:t>
        </w:r>
      </w:hyperlink>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7"/>
    <w:bookmarkStart w:id="61" w:name="appendix-a-tables"/>
    <w:p>
      <w:pPr>
        <w:pStyle w:val="Heading2"/>
      </w:pPr>
      <w:r>
        <w:t xml:space="preserve">Appendix A: Tables</w:t>
      </w:r>
    </w:p>
    <w:bookmarkStart w:id="58" w:name="table-1-country-level-summary-statistics"/>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Timor-Leste</w:t>
            </w:r>
          </w:p>
        </w:tc>
        <w:tc>
          <w:tcPr/>
          <w:p>
            <w:pPr>
              <w:pStyle w:val="Compact"/>
              <w:jc w:val="left"/>
            </w:pPr>
            <w:r>
              <w:t xml:space="preserve">393</w:t>
            </w:r>
          </w:p>
        </w:tc>
        <w:tc>
          <w:tcPr/>
          <w:p>
            <w:pPr>
              <w:pStyle w:val="Compact"/>
              <w:jc w:val="left"/>
            </w:pPr>
            <w:r>
              <w:t xml:space="preserve">53</w:t>
            </w:r>
          </w:p>
        </w:tc>
        <w:tc>
          <w:tcPr/>
          <w:p>
            <w:pPr>
              <w:pStyle w:val="Compact"/>
              <w:jc w:val="left"/>
            </w:pPr>
            <w:r>
              <w:t xml:space="preserve">13.5%</w:t>
            </w:r>
          </w:p>
        </w:tc>
        <w:tc>
          <w:tcPr/>
          <w:p>
            <w:pPr>
              <w:pStyle w:val="Compact"/>
              <w:jc w:val="left"/>
            </w:pPr>
            <w:r>
              <w:t xml:space="preserve">0.104</w:t>
            </w:r>
          </w:p>
        </w:tc>
        <w:tc>
          <w:tcPr/>
          <w:p>
            <w:pPr>
              <w:pStyle w:val="Compact"/>
              <w:jc w:val="left"/>
            </w:pPr>
            <w:r>
              <w:t xml:space="preserve">2009–2021</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2009–2023</w:t>
            </w:r>
          </w:p>
        </w:tc>
      </w:tr>
      <w:tr>
        <w:tc>
          <w:tcPr/>
          <w:p>
            <w:pPr>
              <w:pStyle w:val="Compact"/>
              <w:jc w:val="left"/>
            </w:pPr>
            <w:r>
              <w:t xml:space="preserve">Comoros</w:t>
            </w:r>
          </w:p>
        </w:tc>
        <w:tc>
          <w:tcPr/>
          <w:p>
            <w:pPr>
              <w:pStyle w:val="Compact"/>
              <w:jc w:val="left"/>
            </w:pPr>
            <w:r>
              <w:t xml:space="preserve">117</w:t>
            </w:r>
          </w:p>
        </w:tc>
        <w:tc>
          <w:tcPr/>
          <w:p>
            <w:pPr>
              <w:pStyle w:val="Compact"/>
              <w:jc w:val="left"/>
            </w:pPr>
            <w:r>
              <w:t xml:space="preserve">2</w:t>
            </w:r>
          </w:p>
        </w:tc>
        <w:tc>
          <w:tcPr/>
          <w:p>
            <w:pPr>
              <w:pStyle w:val="Compact"/>
              <w:jc w:val="left"/>
            </w:pPr>
            <w:r>
              <w:t xml:space="preserve">1.7%</w:t>
            </w:r>
          </w:p>
        </w:tc>
        <w:tc>
          <w:tcPr/>
          <w:p>
            <w:pPr>
              <w:pStyle w:val="Compact"/>
              <w:jc w:val="left"/>
            </w:pPr>
            <w:r>
              <w:t xml:space="preserve">0.011</w:t>
            </w:r>
          </w:p>
        </w:tc>
        <w:tc>
          <w:tcPr/>
          <w:p>
            <w:pPr>
              <w:pStyle w:val="Compact"/>
              <w:jc w:val="left"/>
            </w:pPr>
            <w:r>
              <w:t xml:space="preserve">2025</w:t>
            </w:r>
          </w:p>
        </w:tc>
      </w:tr>
      <w:tr>
        <w:tc>
          <w:tcPr/>
          <w:p>
            <w:pPr>
              <w:pStyle w:val="Compact"/>
              <w:jc w:val="left"/>
            </w:pPr>
            <w:r>
              <w:rPr>
                <w:bCs/>
                <w:b/>
              </w:rPr>
              <w:t xml:space="preserve">Total</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Note: Country-level breakdowns are available in the replication archive (</w:t>
      </w:r>
      <w:r>
        <w:rPr>
          <w:rStyle w:val="VerbatimChar"/>
          <w:iCs/>
          <w:i/>
        </w:rPr>
        <w:t xml:space="preserve">p8/replication/</w:t>
      </w:r>
      <w:r>
        <w:rPr>
          <w:iCs/>
          <w:i/>
        </w:rPr>
        <w:t xml:space="preserve">). Total N reflects analysis sample (non-missing ln_LP and FSTS). Wave coverage varies by country.</w:t>
      </w:r>
    </w:p>
    <w:bookmarkEnd w:id="58"/>
    <w:bookmarkStart w:id="59" w:name="Xcb8e4546744cd6d21af62aeea30ad97288aa2e1"/>
    <w:p>
      <w:pPr>
        <w:pStyle w:val="Heading3"/>
      </w:pPr>
      <w:r>
        <w:t xml:space="preserve">Table 2. Regression Results: Internationalization Intensity and Labor Productivity</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Note: Coefficients reported with heteroscedasticity-robust standard errors in parentheses. Country fixed effects absorbed in M0–M3. *** p &lt; .001; ** p &lt; .01; * p &lt; .05; . p &lt; .10.</w:t>
      </w:r>
    </w:p>
    <w:p>
      <w:pPr>
        <w:pStyle w:val="BodyText"/>
      </w:pPr>
      <w:r>
        <w:rPr>
          <w:iCs/>
          <w:i/>
        </w:rPr>
        <w:t xml:space="preserve">Forced Internationalization Penalty (FIP): Confirmed,</w:t>
      </w:r>
      <w:r>
        <w:rPr>
          <w:iCs/>
          <w:i/>
        </w:rPr>
        <w:t xml:space="preserve"> </w:t>
      </w:r>
      <m:oMath>
        <m:r>
          <m:t>β</m:t>
        </m:r>
      </m:oMath>
      <w:r>
        <w:rPr>
          <w:iCs/>
          <w:i/>
        </w:rPr>
        <w:t xml:space="preserve">(</w:t>
      </w:r>
      <m:oMath>
        <m:sSub>
          <m:e>
            <m:r>
              <m:rPr>
                <m:nor/>
                <m:sty m:val="p"/>
              </m:rPr>
              <m:t>FSTS</m:t>
            </m:r>
          </m:e>
          <m:sub>
            <m:r>
              <m:t>c</m:t>
            </m:r>
          </m:sub>
        </m:sSub>
      </m:oMath>
      <w:r>
        <w:rPr>
          <w:iCs/>
          <w:i/>
        </w:rPr>
        <w:t xml:space="preserve">) = −0.404, p = .032 (M1).</w:t>
      </w:r>
    </w:p>
    <w:bookmarkEnd w:id="59"/>
    <w:bookmarkStart w:id="60" w:name="X25c22aea567cfc6fb497c5a2142ec453d3ebd11"/>
    <w:p>
      <w:pPr>
        <w:pStyle w:val="Heading3"/>
      </w:pPr>
      <w:r>
        <w:t xml:space="preserve">Table 3. Robustness: Exporters-Only Subsample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.027*</w:t>
            </w:r>
          </w:p>
        </w:tc>
        <w:tc>
          <w:tcPr/>
          <w:p>
            <w:pPr>
              <w:pStyle w:val="Compact"/>
              <w:jc w:val="left"/>
            </w:pPr>
            <w:r>
              <w:t xml:space="preserve">Negative</w:t>
            </w:r>
          </w:p>
        </w:tc>
      </w:tr>
      <w:tr>
        <w:tc>
          <w:tcPr/>
          <w:p>
            <w:pPr>
              <w:pStyle w:val="Compact"/>
              <w:jc w:val="left"/>
            </w:pPr>
            <w:r>
              <w:t xml:space="preserve">M1 full sample</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.032*</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&lt;.001***</w:t>
            </w:r>
          </w:p>
        </w:tc>
        <w:tc>
          <w:tcPr/>
          <w:p>
            <w:pPr>
              <w:pStyle w:val="Compact"/>
              <w:jc w:val="left"/>
            </w:pPr>
            <w:r>
              <w:t xml:space="preserve">Negative</w:t>
            </w:r>
          </w:p>
        </w:tc>
      </w:tr>
    </w:tbl>
    <w:p>
      <w:pPr>
        <w:pStyle w:val="BodyText"/>
      </w:pPr>
      <w:r>
        <w:rPr>
          <w:iCs/>
          <w:i/>
        </w:rPr>
        <w:t xml:space="preserve">Note: Penalty confirmed in all specifications. Exporters-only result (</w:t>
      </w:r>
      <m:oMath>
        <m:r>
          <m:t>β</m:t>
        </m:r>
      </m:oMath>
      <w:r>
        <w:rPr>
          <w:iCs/>
          <w:i/>
        </w:rPr>
        <w:t xml:space="preserve"> </w:t>
      </w:r>
      <w:r>
        <w:rPr>
          <w:iCs/>
          <w:i/>
        </w:rPr>
        <w:t xml:space="preserve">= −0.901) addresses adverse selection concern: among active exporters, intensifying exports further worsens performance.</w:t>
      </w:r>
    </w:p>
    <w:bookmarkEnd w:id="60"/>
    <w:bookmarkEnd w:id="61"/>
    <w:bookmarkEnd w:id="6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www.enterprisesurveys.org" TargetMode="External" /><Relationship Type="http://schemas.openxmlformats.org/officeDocument/2006/relationships/hyperlink" Id="rId55" Target="https://data360.worldbank.org/en/int/atlas/artificial-intelligence" TargetMode="External" /><Relationship Type="http://schemas.openxmlformats.org/officeDocument/2006/relationships/hyperlink" Id="rId56" Target="https://data360.worldbank.org/en/int/atlas/global-progress" TargetMode="External" /><Relationship Type="http://schemas.openxmlformats.org/officeDocument/2006/relationships/hyperlink" Id="rId54" Target="https://doi.org/10.1002/smj.2399" TargetMode="External" /><Relationship Type="http://schemas.openxmlformats.org/officeDocument/2006/relationships/hyperlink" Id="rId52"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46" Target="http://www.enterprisesurveys.org" TargetMode="External" /><Relationship Type="http://schemas.openxmlformats.org/officeDocument/2006/relationships/hyperlink" Id="rId55" Target="https://data360.worldbank.org/en/int/atlas/artificial-intelligence" TargetMode="External" /><Relationship Type="http://schemas.openxmlformats.org/officeDocument/2006/relationships/hyperlink" Id="rId56" Target="https://data360.worldbank.org/en/int/atlas/global-progress" TargetMode="External" /><Relationship Type="http://schemas.openxmlformats.org/officeDocument/2006/relationships/hyperlink" Id="rId54" Target="https://doi.org/10.1002/smj.2399" TargetMode="External" /><Relationship Type="http://schemas.openxmlformats.org/officeDocument/2006/relationships/hyperlink" Id="rId52"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2026-06-01T19:16:20Z</dcterms:created>
  <dcterms:modified xsi:type="dcterms:W3CDTF">2026-06-01T19:16:20Z</dcterms:modified>
</cp:coreProperties>
</file>

<file path=docProps/custom.xml><?xml version="1.0" encoding="utf-8"?>
<Properties xmlns="http://schemas.openxmlformats.org/officeDocument/2006/custom-properties" xmlns:vt="http://schemas.openxmlformats.org/officeDocument/2006/docPropsVTypes"/>
</file>