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 "studies identified via other methods" variant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 protocol</w:t>
      </w:r>
      <w:r>
        <w:t xml:space="preserve"> </w:t>
      </w:r>
      <w:r>
        <w:rPr>
          <w:iCs/>
          <w:i/>
        </w:rPr>
        <w:t xml:space="preserve">(moderator coding for the full corpus performed by the PI against the documented codebook in Appendix B; an independent 20% double-coding pass is the one remaining pre-submission reliability step)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 0.80</w:t>
            </w:r>
          </w:p>
        </w:tc>
      </w:tr>
    </w:tbl>
    <w:p>
      <w:pPr>
        <w:pStyle w:val="BodyText"/>
      </w:pPr>
      <w:r>
        <w:rPr>
          <w:iCs/>
          <w:i/>
        </w:rPr>
        <w:t xml:space="preserve">Note.</w:t>
      </w:r>
      <w:r>
        <w:t xml:space="preserve"> </w:t>
      </w:r>
      <w:r>
        <w:t xml:space="preserve">Moderator coding for the full corpus was performed by the PI against the standardized codebook in Appendix B. Target agreement thresholds follow Landis and Koch (1977): Cohen's κ ≥ 0.70 for the categorical moderators and ICC(2, 1) ≥ 0.80 for the continuous cDAI index. Computing these statistics on an independent 20% double-coded subsample (k = 47 studies) is the single remaining pre-submission reliability step; Regime II/III boundary disagreements are resolved by PI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moderator coding was performed by the PI against the documented codebook; independent double-coding of a 20% subsample (</w:t>
      </w:r>
      <w:r>
        <w:rPr>
          <w:iCs/>
          <w:i/>
        </w:rPr>
        <w:t xml:space="preserve">k</w:t>
      </w:r>
      <w:r>
        <w:t xml:space="preserve"> </w:t>
      </w:r>
      <w:r>
        <w:t xml:space="preserve">= 47 studies) to compute Cohen's κ and ICC(2, 1) is the remaining reliability step and was not completed at the time of submission.</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2026-06-09T04:16:01Z</dcterms:created>
  <dcterms:modified xsi:type="dcterms:W3CDTF">2026-06-09T04:16:01Z</dcterms:modified>
</cp:coreProperties>
</file>

<file path=docProps/custom.xml><?xml version="1.0" encoding="utf-8"?>
<Properties xmlns="http://schemas.openxmlformats.org/officeDocument/2006/custom-properties" xmlns:vt="http://schemas.openxmlformats.org/officeDocument/2006/docPropsVTypes"/>
</file>