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một mạch logic: từ bức tranh thực trạng mô tả (Mục 4.1) đến bằng chứng tổng hợp ở cấp phân tích tổng hợp (Mục 4.2), rồi đến bằng chứng theo từng quốc gia, và sau cùng là kiểm định toàn mẫu đa quốc gia. Cấu trúc trình bày gồm tám phần chính, mở đầu bằng thực trạng quốc tế hóa và hiệu quả hoạt động kinh doanh tại châu Á theo các nhóm con thể chế ICRV, rồi lần lượt là: (ii) kết quả phân tích tổng hợp ba tầng (P6); (iii) bối cảnh thể chế tiên tiến dẫn dắt bằng đổi mới tại Singapore (P4); (iv) bối cảnh thể chế thu nhập trung bình cao tại Trung Quốc (P5); (v) bối cảnh chuyển đổi thu nhập trung bình thấp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trong nội bộ nhóm tiên tiến. Tỷ số phân tán giữa nhóm dẫn dắt bằng đổi mới (Singapore, Hàn Quốc, Đài Loan, sd</w:t>
      </w:r>
      <w:r>
        <w:t xml:space="preserve"> </w:t>
      </w:r>
      <m:oMath>
        <m:r>
          <m:rPr>
            <m:sty m:val="p"/>
          </m:rPr>
          <m:t>≈</m:t>
        </m:r>
      </m:oMath>
      <w:r>
        <w:t xml:space="preserve"> </w:t>
      </w:r>
      <w:r>
        <w:t xml:space="preserve">1,03) và nhóm dẫn dắt bằng tài nguyên (Saudi Arabia, Qatar, Kuwait, sd</w:t>
      </w:r>
      <w:r>
        <w:t xml:space="preserve"> </w:t>
      </w:r>
      <m:oMath>
        <m:r>
          <m:rPr>
            <m:sty m:val="p"/>
          </m:rPr>
          <m:t>≈</m:t>
        </m:r>
      </m:oMath>
      <w:r>
        <w:t xml:space="preserve"> </w:t>
      </w:r>
      <w:r>
        <w:t xml:space="preserve">0,49) xấp xỉ 2,1 lần, phản ánh hai cơ chế tăng trưởng và phân phối hoàn toàn khác nhau. Nhóm con dẫn dắt bằng tài nguyên có độ phân tán năng suất thấp nhất toàn bộ mẫu, đặc trưng của một nền kinh tế dựa vào tô tài nguyên, nơi phần phân phối lại từ xuất khẩu dầu mỏ thu hẹp khoảng cách năng suất giữa các doanh nghiệp, nhưng không hẳn phản ánh hiệu quả doanh nghiệp ở mức đáng kể. Điều này cho thấy việc gộp hai loại nền kinh tế tiên tiến vào một nhóm duy nhất, như các nghiên cứu trước thường làm, sẽ che khuất chính cơ chế quan trọng này.</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ở tất cả các nhóm, và chỉ 15-23% doanh nghiệp tham gia xuất khẩu tùy bối cảnh. Phân phối FSTS phân cực mạnh: đại đa số không xuất khẩu, trong khi một thiểu số nhỏ lại có tỷ lệ xuất khẩu rất cao. Sự phân cực này đặt ra một vấn đề phương pháp quan trọng cho nghiên cứu I-P, đó là kết quả hồi quy trên toàn mẫu bị kéo lệch bởi hành vi của nhóm thiểu số xuất khẩu tích cực.</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số ở nhóm đảo nhỏ: tỷ lệ trang web 58,9% vượt cả nhóm mới nổi (49,2%) dù thu nhập quốc gia thấp hơn đáng kể. Điều này phản ánh một thực tế là số hóa bề mặt, ở đây là trang web, tại nhóm đảo nhỏ chỉ là công cụ sinh tồn chứ không phải công cụ tối ưu hóa hiệu quả. Kết quả này cũng củng cố lập luận lý thuyết về sự phân biệt giữa DAI, tức chấp nhận số bề mặt, và TCI, tức năng lực công nghệ chiều sâu: nhóm đảo nhỏ có DAI cao nhưng TCI thấp nhất, và đây cũng là nhóm duy nhất có quan hệ I-P âm đơn điệu.</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(Khanna &amp; Palepu, 2010), tạo ra chi phí giao dịch bổ sung cho doanh nghiệp khi mở rộng hoạt động ra ngoài biên giới. Việc nhiều khoảng trống cùng hiện diện tại nhóm cận biên và đảo nhỏ giải thích vì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tổng hợp ba tầng được tiến hành trên tập dữ liệu gồm</w:t>
      </w:r>
      <w:r>
        <w:t xml:space="preserve"> </w:t>
      </w:r>
      <m:oMath>
        <m:r>
          <m:t>k</m:t>
        </m:r>
        <m:r>
          <m:rPr>
            <m:sty m:val="p"/>
          </m:rPr>
          <m:t>=</m:t>
        </m:r>
        <m:r>
          <m:t>238</m:t>
        </m:r>
      </m:oMath>
      <w:r>
        <w:t xml:space="preserve"> </w:t>
      </w:r>
      <w:r>
        <w:t xml:space="preserve">nghiên cứu, với tổng cộng hàng trăm cặp mức độ ảnh hưởng đa dạng theo vùng địa lý, giai đoạn và phương pháp. Kết quả cho thấy hiệu ứng tổng hợp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quan hệ tổng hợp giữa quốc tế hóa và hiệu quả hoạt động là dương nhưng có biên độ khiêm tốn.</w:t>
      </w:r>
    </w:p>
    <w:p>
      <w:pPr>
        <w:pStyle w:val="BodyText"/>
      </w:pPr>
      <w:r>
        <w:t xml:space="preserve">Đáng lưu ý là kết quả P6 hoàn toàn nhất quán với phân tích tổng hợp nền tảng đã công bố tại hội nghị ICBEF 2024 của Do và Phan (2024), vốn có</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ngay cả khi tập nghiên cứu được mở rộng lên gần gấp đôi.</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này không nằm ở giá trị điểm của</w:t>
      </w:r>
      <w:r>
        <w:t xml:space="preserve"> </w:t>
      </w:r>
      <m:oMath>
        <m:r>
          <m:t>r</m:t>
        </m:r>
      </m:oMath>
      <w:r>
        <w:t xml:space="preserve">, mà ở cấu trúc của sự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trong tập 238 nghiên cứu không bắt nguồn từ sai số lấy mẫu. Quan trọng hơn, khi phân tách theo cấu trúc ba tầng:</w:t>
      </w:r>
    </w:p>
    <w:p>
      <w:pPr>
        <w:numPr>
          <w:ilvl w:val="0"/>
          <w:numId w:val="1001"/>
        </w:numPr>
        <w:pStyle w:val="Compact"/>
      </w:pPr>
      <w:r>
        <w:rPr>
          <w:bCs/>
          <w:b/>
        </w:rPr>
        <w:t xml:space="preserve">Tầng 2</w:t>
      </w:r>
      <w:r>
        <w:t xml:space="preserve">, tức dị biệt giữa các mức độ ảnh hưởng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tức dị biệt giữa các nghiên cứu với nhau, chỉ chiếm</w:t>
      </w:r>
      <w:r>
        <w:t xml:space="preserve"> </w:t>
      </w:r>
      <m:oMath>
        <m:r>
          <m:t>8</m:t>
        </m:r>
        <m:r>
          <m:rPr>
            <m:sty m:val="p"/>
          </m:rPr>
          <m:t>,</m:t>
        </m:r>
        <m:r>
          <m:t>4</m:t>
        </m:r>
        <m:r>
          <m:rPr>
            <m:sty m:val="p"/>
          </m:rPr>
          <m:t>%</m:t>
        </m:r>
      </m:oMath>
      <w:r>
        <w:t xml:space="preserve">.</w:t>
      </w:r>
    </w:p>
    <w:p>
      <w:pPr>
        <w:pStyle w:val="FirstParagraph"/>
      </w:pPr>
      <w:r>
        <w:t xml:space="preserve">Phát hiện này mang hàm ý lý thuyết sâu sắc: sự dị biệt trong nghiên cứu I-P chủ yếu đến từ biến thiên</w:t>
      </w:r>
      <w:r>
        <w:t xml:space="preserve"> </w:t>
      </w:r>
      <w:r>
        <w:rPr>
          <w:bCs/>
          <w:b/>
        </w:rPr>
        <w:t xml:space="preserve">bên trong từng nghiên cứu</w:t>
      </w:r>
      <w:r>
        <w:t xml:space="preserve">, chẳng hạn cùng một mẫu doanh nghiệp nhưng dùng các thước đo khác nhau cho cùng một cấu trúc lại cho ra kết quả khác nhau, chứ không phải từ khác biệt giữa các nghiên cứu. Điều này gợi ý rằng sự không nhất quán trong nghiên cứu I-P phần lớn là vấn đề</w:t>
      </w:r>
      <w:r>
        <w:t xml:space="preserve"> </w:t>
      </w:r>
      <w:r>
        <w:rPr>
          <w:bCs/>
          <w:b/>
        </w:rPr>
        <w:t xml:space="preserve">đo lường và bối cảnh</w:t>
      </w:r>
      <w:r>
        <w:t xml:space="preserve">, chứ không phải bằng chứng về một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theo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tiên tiến dẫn dắt bằng đổi mới (Nhóm I: Singapore, Hong Kong, Đài Loan, Hàn Quốc) đến đảo nhỏ Thái Bình Dương (Nhóm VI), là một yếu tố điều tiết thực sự có ý nghĩa cho quan hệ tổng hợp I-P.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t xml:space="preserve">Dải biến thiên theo ICRV hiện rõ trong kết quả: các nền kinh tế tiên tiến dẫn dắt bằng đổi mới có hiệu ứng I-P lớn hơn so với các nền kinh tế cận biên hay đảo nhỏ. Kết quả này nhất quán với cơ chế từ lý thuyết thể chế, theo đó môi trường thể chế chất lượng cao giúp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Phân tích sai lệch xuất bản gồm ba kiểm định bổ sung cho nhau.</w:t>
      </w:r>
      <w:r>
        <w:t xml:space="preserve"> </w:t>
      </w:r>
      <w:r>
        <w:rPr>
          <w:bCs/>
          <w:b/>
        </w:rPr>
        <w:t xml:space="preserve">Kiểm định Egger</w:t>
      </w:r>
      <w:r>
        <w:t xml:space="preserve"> </w:t>
      </w:r>
      <w:r>
        <w:t xml:space="preserve">cho</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w:t>
      </w:r>
      <w:r>
        <w:t xml:space="preserve"> </w:t>
      </w:r>
      <w:r>
        <w:rPr>
          <w:bCs/>
          <w:b/>
        </w:rPr>
        <w:t xml:space="preserve">Kiểm định Begg-Mazumdar</w:t>
      </w:r>
      <w:r>
        <w:t xml:space="preserve"> </w:t>
      </w:r>
      <w:r>
        <w:t xml:space="preserve">(Begg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tức mẫu nhỏ hơn, có xu hướng báo cáo mức độ ảnh hưởng thấp hơn, phù hợp với một sai lệch công bố thiên về kết quả dương tính.</w:t>
      </w:r>
      <w:r>
        <w:t xml:space="preserve"> </w:t>
      </w:r>
      <w:r>
        <w:rPr>
          <w:bCs/>
          <w:b/>
        </w:rPr>
        <w:t xml:space="preserve">Phân tích cắt và bù</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bù vào), một mức điều chỉnh đáng kể nhưng không đổi chiều hướng tích cực của quan hệ tổng hợp.</w:t>
      </w:r>
      <w:r>
        <w:t xml:space="preserve"> </w:t>
      </w:r>
      <w:r>
        <w:rPr>
          <w:bCs/>
          <w:b/>
        </w:rPr>
        <w:t xml:space="preserve">Chỉ 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 Nhìn chung, bằng chứng về sai lệch xuất bản được xác nhận qua kiểm định Begg-Mazumdar có ý nghĩa (</w:t>
      </w:r>
      <m:oMath>
        <m:r>
          <m:t>p</m:t>
        </m:r>
        <m:r>
          <m:rPr>
            <m:sty m:val="p"/>
          </m:rPr>
          <m:t>=</m:t>
        </m:r>
        <m:r>
          <m:rPr>
            <m:sty m:val="p"/>
          </m:rPr>
          <m:t>,</m:t>
        </m:r>
        <m:r>
          <m:t>0007</m:t>
        </m:r>
      </m:oMath>
      <w:r>
        <w:t xml:space="preserve">): hiệu ứng tổng hợp thực</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quan hệ phi tuyến chữ U ngược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đúng với dạng chữ U ngược mà H1 trong khung CDCM kỳ vọng.</w:t>
      </w:r>
    </w:p>
    <w:p>
      <w:pPr>
        <w:pStyle w:val="BodyText"/>
      </w:pPr>
      <w:r>
        <w:t xml:space="preserve">Điểm uốn ước lượng được ở mức</w:t>
      </w:r>
      <w:r>
        <w:t xml:space="preserve"> </w:t>
      </w:r>
      <w:r>
        <w:rPr>
          <w:bCs/>
          <w:b/>
        </w:rPr>
        <w:t xml:space="preserve">khoảng 88,6% FSTS</w:t>
      </w:r>
      <w:r>
        <w:t xml:space="preserve">, cao nhất trong tất cả các bối cảnh ICRV được phân tích trong luận án. Khoảng tin cậy của điểm uốn khá rộng ([53%, 253%]), phản ánh hạn chế về quy mô mẫu và độ chính xác thống kê; dù vậy, điểm ước lượng trung tâm cho thấy doanh nghiệp Singapore có thể duy trì đà tăng trưởng hiệu quả ngay cả khi quốc tế hóa ở mức rất cao, trước khi đạt đỉnh rồi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bao gồm cả Tier-1 và Tier-2 của chỉ số DAI, cho thấy hiệu ứng khuếch đại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mức chấp nhận số cao hơn duy trì hiệu quả tốt hơn so với doanh nghiệp có DAI thấp hơn. Điều này cho thấy DAI đóng vai trò nguồn lực tình huống, làm chậm đà suy giảm ở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chỉ mang tính</w:t>
      </w:r>
      <w:r>
        <w:t xml:space="preserve"> </w:t>
      </w:r>
      <w:r>
        <w:rPr>
          <w:bCs/>
          <w:b/>
        </w:rPr>
        <w:t xml:space="preserve">ranh giới suy luận</w:t>
      </w:r>
      <w:r>
        <w:t xml:space="preserve">, do hạn chế nghiêm trọng về quy mô mẫu:</w:t>
      </w:r>
      <w:r>
        <w:t xml:space="preserve"> </w:t>
      </w:r>
      <m:oMath>
        <m:r>
          <m:t>N</m:t>
        </m:r>
        <m:r>
          <m:rPr>
            <m:sty m:val="p"/>
          </m:rPr>
          <m:t>=</m:t>
        </m:r>
        <m:r>
          <m:t>237</m:t>
        </m:r>
      </m:oMath>
      <w:r>
        <w:t xml:space="preserve"> </w:t>
      </w:r>
      <w:r>
        <w:t xml:space="preserve">quan sát chỉ gồm doanh nghiệp xuất khẩu, khiến công suất thống kê ước tính chỉ đạt khoảng 16%. Vì vậy, luận án diễn giải kết quả Singapore như</w:t>
      </w:r>
      <w:r>
        <w:t xml:space="preserve"> </w:t>
      </w:r>
      <w:r>
        <w:rPr>
          <w:iCs/>
          <w:i/>
        </w:rPr>
        <w:t xml:space="preserve">bằng chứng phù hợp nhưng chưa đủ công suất</w:t>
      </w:r>
      <w:r>
        <w:t xml:space="preserve">: không bác bỏ giả thuyết, nhưng cũng không tuyên bố xác nhận dứt khoát.</w:t>
      </w:r>
    </w:p>
    <w:p>
      <w:r>
        <w:pict>
          <v:rect style="width:0;height:1.5pt" o:hralign="center" o:hrstd="t" o:hr="t"/>
        </w:pict>
      </w:r>
    </w:p>
    <w:bookmarkEnd w:id="34"/>
    <w:bookmarkEnd w:id="35"/>
    <w:bookmarkStart w:id="39" w:name="Xe82f3dce0f0627e9c9bc56dd93921b4f2535053"/>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thu nhập trung bình cao) giai đoạn 2012-2024 xác nhận dạng quan hệ phi tuyến chữ U ngược giữa FSTS và hiệu quả hoạt động doanh nghiệp. Điểm uốn được ước lượng tại:</w:t>
      </w:r>
    </w:p>
    <w:p>
      <w:pPr>
        <w:numPr>
          <w:ilvl w:val="0"/>
          <w:numId w:val="1002"/>
        </w:numPr>
        <w:pStyle w:val="Compact"/>
      </w:pPr>
      <w:r>
        <w:rPr>
          <w:bCs/>
          <w:b/>
        </w:rPr>
        <w:t xml:space="preserve">Năm 2012</w:t>
      </w:r>
      <w:r>
        <w:t xml:space="preserve">: 49,37% FSTS</w:t>
      </w:r>
    </w:p>
    <w:p>
      <w:pPr>
        <w:numPr>
          <w:ilvl w:val="0"/>
          <w:numId w:val="1002"/>
        </w:numPr>
        <w:pStyle w:val="Compact"/>
      </w:pPr>
      <w:r>
        <w:rPr>
          <w:bCs/>
          <w:b/>
        </w:rPr>
        <w:t xml:space="preserve">Năm 2024</w:t>
      </w:r>
      <w:r>
        <w:t xml:space="preserve">: 47,19% FSTS</w:t>
      </w:r>
    </w:p>
    <w:p>
      <w:pPr>
        <w:numPr>
          <w:ilvl w:val="0"/>
          <w:numId w:val="1002"/>
        </w:numPr>
        <w:pStyle w:val="Compact"/>
      </w:pPr>
      <w:r>
        <w:rPr>
          <w:bCs/>
          <w:b/>
        </w:rPr>
        <w:t xml:space="preserve">Toàn mẫu gộp</w:t>
      </w:r>
      <w:r>
        <w:t xml:space="preserve">: 48,78% FSTS</w:t>
      </w:r>
    </w:p>
    <w:p>
      <w:pPr>
        <w:pStyle w:val="FirstParagraph"/>
      </w:pPr>
      <w:r>
        <w:t xml:space="preserve">Các con số này cho thấy doanh nghiệp Trung Quốc đạt hiệu quả tối ưu khi cường độ quốc tế hóa (FSTS) ở mức gần 49%, tức một mức độ tập trung quốc tế vừa phải, trong bối cảnh nền kinh tế nội địa khổng lồ của Trung Quốc đồng thời mở ra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ra một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hay không? Kiểm định Paternoster cho</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Kết quả này xác nhận rằng</w:t>
      </w:r>
      <w:r>
        <w:t xml:space="preserve"> </w:t>
      </w:r>
      <w:r>
        <w:rPr>
          <w:bCs/>
          <w:b/>
        </w:rPr>
        <w:t xml:space="preserve">điểm uốn ổn định qua thời gian</w:t>
      </w:r>
      <w:r>
        <w:t xml:space="preserve">: sự dịch chuyển từ 49,37% (2012) xuống 47,19% (2024) là không đáng kể về mặt thống kê.</w:t>
      </w:r>
    </w:p>
    <w:p>
      <w:pPr>
        <w:pStyle w:val="BodyText"/>
      </w:pPr>
      <w:r>
        <w:t xml:space="preserve">Kiểm định tương tác thời gian (Temporal H6) cho</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cũng không có ý nghĩa thống kê, nghĩa là hình dạng tổng thể của quan hệ phi tuyến không biến đổi đáng kể qua giai đoạn phân tích. Phát hiện này cho thấy ở một bối cảnh thu nhập trung bình cao như Trung Quốc, cơ chế căn bản của quan hệ I-P giữ được tính ổn định đáng kể. Điều đó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w:t>
      </w:r>
      <m:oMath>
        <m:r>
          <m:t>p</m:t>
        </m:r>
        <m:r>
          <m:rPr>
            <m:sty m:val="p"/>
          </m:rPr>
          <m:t>&gt;</m:t>
        </m:r>
        <m:r>
          <m:rPr>
            <m:sty m:val="p"/>
          </m:rPr>
          <m:t>,</m:t>
        </m:r>
        <m:r>
          <m:t>10</m:t>
        </m:r>
      </m:oMath>
      <w:r>
        <w:t xml:space="preserve">), cho thấy chỉ số năng lực công nghệ không phát huy vai trò điều tiết đáng kể ở bối cảnh Trung Quốc theo mô hình P5. Tương tự, DAI cũng không điều tiết có ý nghĩa trong bối cảnh này. Việc các hiệu ứng điều tiết tại Trung Quốc không có ý nghĩa có thể phản ánh một thực tế: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4" w:name="X8e2e1e61918148d2b474752a2fc33cc990ea226"/>
    <w:p>
      <w:pPr>
        <w:pStyle w:val="Heading2"/>
      </w:pPr>
      <w:r>
        <w:t xml:space="preserve">4.5 Kết quả bối cảnh chuyển đổi bậc thấp đến 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trên ba đợt khảo sát WBES Việt Nam (2009, 2015, 2023) xác nhận dạng phi tuyến chữ U ngược. Mô hình chính M4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Lind-Mehlum cho</w:t>
      </w:r>
      <w:r>
        <w:t xml:space="preserve"> </w:t>
      </w:r>
      <m:oMath>
        <m:r>
          <m:t>p</m:t>
        </m:r>
        <m:r>
          <m:rPr>
            <m:sty m:val="p"/>
          </m:rPr>
          <m:t>&lt;</m:t>
        </m:r>
        <m:r>
          <m:rPr>
            <m:sty m:val="p"/>
          </m:rPr>
          <m:t>,</m:t>
        </m:r>
        <m:r>
          <m:t>001</m:t>
        </m:r>
      </m:oMath>
      <w:r>
        <w:t xml:space="preserve">, là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uốn trong khoảng</w:t>
      </w:r>
      <w:r>
        <w:t xml:space="preserve"> </w:t>
      </w:r>
      <w:r>
        <w:rPr>
          <w:bCs/>
          <w:b/>
        </w:rPr>
        <w:t xml:space="preserve">39-46% FSTS</w:t>
      </w:r>
      <w:r>
        <w:t xml:space="preserve"> </w:t>
      </w:r>
      <w:r>
        <w:t xml:space="preserve">đặt Việt Nam thấp hơn đáng kể so với Singapore (khoảng 88,6%),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vừa nâng mặt bằng hiệu quả, vừa khuếch đại tác động tích cực của quốc tế hóa. Doanh nghiệp Việt Nam có năng lực công nghệ tốt hơn, đo bằng TCI, đạt hiệu quả cao hơn từ quá trình quốc tế hóa, đúng với H2 trong khung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chỉ gồm DAI Tier-1 do giới hạn đo lường của WBES trong các đợt khảo sát này, cho kết quả yếu dương nhưng không có ý nghĩa thống kê. Kết quả này có thể phản ánh hạn chế đo lường: DAI Tier-1 chỉ nắm bắt mức chấp nhận số bề mặt, gồm trang web, thư điện tử và bán hàng trực tuyến, chứ không đo được chiều sâu năng lực số. Vì dữ liệu WBES Việt Nam chỉ có Tier-1, độ phân biệt chưa đủ để phát hiện những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toàn bộ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FSTS bậc hai không có biến kiểm soát). 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 điểm uốn tổng thể:</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cho rằng chữ U ngược chỉ là sản phẩm phụ của mẫu nhỏ hay thiếu biến kiểm soát.</w:t>
      </w:r>
    </w:p>
    <w:bookmarkEnd w:id="45"/>
    <w:bookmarkStart w:id="46"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dải biến thiên ICRV</w:t>
      </w:r>
      <w:r>
        <w:t xml:space="preserve">: điểm uốn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Dải biến thiên này nhất quán với dự đoán của lý thuyết thể chế: ở môi trường thể chế mạnh (Nhóm I), doanh nghiệp hoàn vốn chi phí quốc tế hóa ở mức FSTS thấp hơn, tức đạt đỉnh hiệu quả sớm hơn. Ngược lại, tại các nền kinh tế thể chế yếu (Nhóm V-VI), doanh nghiệp cần quốc tế hóa sâu hơn để bù đắp chi phí giao dịch và bất định thể chế, nên điểm uốn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và một từ thực nghiệm sơ cấp, cùng chỉ ra dải biến thiên ICRV, tạo nên một xác nhận độc lập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dương và có ý nghĩa thống kê trên toàn mẫu; mỗi đơn vị độ lệch chuẩn tăng thêm của TCI nâng năng suất lao động khoảng 41% (exp(0,344)−1). Tuy nhiên, các tương tác FSTS×TCI và</w:t>
      </w:r>
      <w:r>
        <w:t xml:space="preserve"> </w:t>
      </w:r>
      <m:oMath>
        <m:sSup>
          <m:e>
            <m:r>
              <m:rPr>
                <m:nor/>
                <m:sty m:val="p"/>
              </m:rPr>
              <m:t>FSTS</m:t>
            </m:r>
          </m:e>
          <m:sup>
            <m:r>
              <m:t>2</m:t>
            </m:r>
          </m:sup>
        </m:sSup>
      </m:oMath>
      <w:r>
        <w:t xml:space="preserve">×TCI</w:t>
      </w:r>
      <w:r>
        <w:t xml:space="preserve"> </w:t>
      </w:r>
      <w:r>
        <w:rPr>
          <w:bCs/>
          <w:b/>
        </w:rPr>
        <w:t xml:space="preserve">không có ý nghĩa</w:t>
      </w:r>
      <w:r>
        <w:t xml:space="preserve"> </w:t>
      </w:r>
      <w:r>
        <w:t xml:space="preserve">trong mẫu 49 nền kinh tế đa dạng thể chế. Do đó H2</w:t>
      </w:r>
      <w:r>
        <w:t xml:space="preserve"> </w:t>
      </w:r>
      <w:r>
        <w:rPr>
          <w:bCs/>
          <w:b/>
        </w:rPr>
        <w:t xml:space="preserve">được xác nhận một phần</w:t>
      </w:r>
      <w:r>
        <w:t xml:space="preserve">: TCI là yếu tố nâng mặt bằng năng suất nhất quán, nhưng vai trò uốn hình dạng đường cong I-P chỉ xuất hiện ở một bối cảnh quốc gia cụ thể là Việt Nam (P3), chứ không phổ quát trên toàn mẫu.</w:t>
      </w:r>
    </w:p>
    <w:p>
      <w:pPr>
        <w:numPr>
          <w:ilvl w:val="0"/>
          <w:numId w:val="1003"/>
        </w:numPr>
        <w:pStyle w:val="Compact"/>
      </w:pPr>
      <w:r>
        <w:rPr>
          <w:bCs/>
          <w:b/>
        </w:rPr>
        <w:t xml:space="preserve">DAI</w:t>
      </w:r>
      <w:r>
        <w:t xml:space="preserve">: có ý nghĩa thống kê trên toàn mẫu, với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khoảng 17% lợi thế năng suất cho doanh nghiệp có trang web. Đáng chú ý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Khuôn mẫu âm rồi dương này cho thấy doanh nghiệp DAI cao có đường cong I-P phẳng hơn nhưng dịch lên, nên tổn thất hiệu suất nhẹ hơn khi quốc tế hóa cao. Tương tác DAI×ICRV (</w:t>
      </w:r>
      <m:oMath>
        <m:r>
          <m:t>p</m:t>
        </m:r>
        <m:r>
          <m:rPr>
            <m:sty m:val="p"/>
          </m:rPr>
          <m:t>=</m:t>
        </m:r>
        <m:r>
          <m:rPr>
            <m:sty m:val="p"/>
          </m:rPr>
          <m:t>,</m:t>
        </m:r>
        <m:r>
          <m:t>012</m:t>
        </m:r>
      </m:oMath>
      <w:r>
        <w:t xml:space="preserve">) xác nhận vai trò của DAI mạnh hơn ở các môi trường thể chế yếu,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đảo nhỏ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doanh nghiệp xuất khẩu, chiếm 12,7% mẫu. Tỷ lệ doanh thu xuất khẩu trung bình rất thấp, với FSTS trung bình bằng 0,060, tức 6,0%.</w:t>
      </w:r>
    </w:p>
    <w:bookmarkEnd w:id="49"/>
    <w:bookmarkStart w:id="5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đảo nhỏ, quốc tế hóa càng cao thì hiệu quả hoạt động doanh nghiệp càng</w:t>
      </w:r>
      <w:r>
        <w:t xml:space="preserve"> </w:t>
      </w:r>
      <w:r>
        <w:rPr>
          <w:bCs/>
          <w:b/>
        </w:rPr>
        <w:t xml:space="preserve">thấp hơn</w:t>
      </w:r>
      <w:r>
        <w:t xml:space="preserve">, tức một quan hệ âm đơn điệu. Trong mẫu chỉ gồm doanh nghiệp xuất khẩu,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 giảm</w:t>
      </w:r>
      <w:r>
        <w:t xml:space="preserve">, không có điểm uốn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gánh nặng quốc tế hóa bắt buộc (Forced Internationalization Penalty, FIP)</w:t>
      </w:r>
      <w:r>
        <w:t xml:space="preserve">, một cấu trúc lý thuyết mới chưa từng có trong các nghiên cứu kinh doanh quốc tế trước đây. Cơ chế giải thích gồm ba yếu tố cấu trúc đặc thù của các nền kinh tế đảo nhỏ: (1) thị trường nội địa quá nhỏ, buộc doanh nghiệp xuất khẩu không phải vì có lợi thế cạnh tranh mà vì cầu nội địa không đủ để duy trì hoạt động; (2) chi phí hậu cần và tiếp cận thị trường cực cao do vị trí địa lý xa xôi và phân tán; và (3) sự thiếu hụt hỗ trợ thể chế cùng năng lực xuất khẩu.</w:t>
      </w:r>
    </w:p>
    <w:p>
      <w:pPr>
        <w:pStyle w:val="BodyText"/>
      </w:pPr>
      <w:r>
        <w:t xml:space="preserve">Kết quả FIP là đóng góp lý thuyết gốc của luận án, lần đầu tiên được ghi nhận và đặt tên trong các nghiên cứu về quan hệ giữa quốc tế hóa và hiệu quả hoạt động doanh nghiệp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2026-05-25T12:19:48Z</dcterms:created>
  <dcterms:modified xsi:type="dcterms:W3CDTF">2026-05-25T12:19:48Z</dcterms:modified>
</cp:coreProperties>
</file>

<file path=docProps/custom.xml><?xml version="1.0" encoding="utf-8"?>
<Properties xmlns="http://schemas.openxmlformats.org/officeDocument/2006/custom-properties" xmlns:vt="http://schemas.openxmlformats.org/officeDocument/2006/docPropsVTypes"/>
</file>