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các nghiên cứu rộng hơn (Marano et al. 2016). Tuy nhiên, phần lớn các nghiên cứu này được phát triển trong các bối cảnh tiền số hóa hoặc số hóa đang chuyển đổi, nơi điều kiện thể chế và hạ tầng khác biệt đáng kể so với các nền kinh tế số tiên tiến (Peng 2003; Peng et al. 2008). Do đó, các nghiên cứu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các nghiên cứu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các nghiên cứu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các nghiên cứu trước.</w:t>
      </w:r>
    </w:p>
    <w:p>
      <w:pPr>
        <w:pStyle w:val="BodyText"/>
      </w:pPr>
      <w:r>
        <w:t xml:space="preserve">Đóng góp bổ trợ thứ nhất làm rõ các nghiên cứu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các nghiên cứu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các nghiên cứu này là đường cong chữ U ngược với điểm ngoặt trong khoảng FSTS 30%–60% (Marano et al. 2016).</w:t>
      </w:r>
    </w:p>
    <w:p>
      <w:pPr>
        <w:pStyle w:val="BodyText"/>
      </w:pPr>
      <w:r>
        <w:t xml:space="preserve">Một hàm ý quan trọng của các nghiên cứu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các nghiên cứu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các nghiên cứu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các nghiên cứu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các nghiên cứu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các nghiên cứu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2026-05-25T12:20:14Z</dcterms:created>
  <dcterms:modified xsi:type="dcterms:W3CDTF">2026-05-25T12:20:14Z</dcterms:modified>
</cp:coreProperties>
</file>

<file path=docProps/custom.xml><?xml version="1.0" encoding="utf-8"?>
<Properties xmlns="http://schemas.openxmlformats.org/officeDocument/2006/custom-properties" xmlns:vt="http://schemas.openxmlformats.org/officeDocument/2006/docPropsVTypes"/>
</file>