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0"/>
    <w:bookmarkStart w:id="21"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1"/>
    <w:bookmarkStart w:id="2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2"/>
    <w:bookmarkStart w:id="23"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
    <w:bookmarkStart w:id="2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4"/>
    <w:bookmarkStart w:id="2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5"/>
    <w:bookmarkStart w:id="2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6"/>
    <w:bookmarkStart w:id="27" w:name="h.-firm-performance-đa-chiều"/>
    <w:p>
      <w:pPr>
        <w:pStyle w:val="Heading2"/>
      </w:pPr>
      <w:r>
        <w:t xml:space="preserve">H. Firm performance đa chiều</w:t>
      </w:r>
    </w:p>
    <w:p>
      <w:pPr>
        <w:pStyle w:val="FirstParagraph"/>
      </w:pPr>
      <w:r>
        <w:t xml:space="preserve">(Giữ nguyên từ v2.1.)</w:t>
      </w:r>
    </w:p>
    <w:bookmarkEnd w:id="27"/>
    <w:bookmarkStart w:id="2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8"/>
    <w:bookmarkStart w:id="29"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29"/>
    <w:bookmarkStart w:id="30"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0"/>
    <w:bookmarkStart w:id="31"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1"/>
    <w:bookmarkStart w:id="32"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2"/>
    <w:bookmarkStart w:id="33"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3"/>
    <w:bookmarkStart w:id="34"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34"/>
    <w:bookmarkStart w:id="35"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35"/>
    <w:bookmarkStart w:id="36"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Mar, K. S., Đỗ, T. H., &amp; Phan, A. T. (2026). Institutional completeness and the internationalization-performance relationship: Capability ceiling and dual substitution evidence from Singapore.</w:t>
      </w:r>
      <w:r>
        <w:t xml:space="preserve"> </w:t>
      </w:r>
      <w:r>
        <w:rPr>
          <w:iCs/>
          <w:i/>
        </w:rPr>
        <w:t xml:space="preserve">Management International Review</w:t>
      </w:r>
      <w:r>
        <w:t xml:space="preserve"> </w:t>
      </w:r>
      <w:r>
        <w:t xml:space="preserve">(under review).</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6"/>
    <w:bookmarkStart w:id="37"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7"/>
    <w:bookmarkStart w:id="38"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8"/>
    <w:bookmarkStart w:id="39"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39"/>
    <w:bookmarkStart w:id="43" w:name="hướng-dẫn-sử-dụng-cập-nhật-v2.5"/>
    <w:p>
      <w:pPr>
        <w:pStyle w:val="Heading2"/>
      </w:pPr>
      <w:r>
        <w:t xml:space="preserve">Hướng dẫn sử dụng (cập nhật v2.5)</w:t>
      </w:r>
    </w:p>
    <w:bookmarkStart w:id="40"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01"/>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01"/>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01"/>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01"/>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01"/>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01"/>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w:t>
      </w:r>
      <w:r>
        <w:t xml:space="preserve"> </w:t>
      </w:r>
      <w:r>
        <w:t xml:space="preserve">“</w:t>
      </w:r>
      <w:r>
        <w:t xml:space="preserve">Pirlea &amp; Corso (2026)</w:t>
      </w:r>
      <w:r>
        <w:t xml:space="preserve">”</w:t>
      </w:r>
    </w:p>
    <w:p>
      <w:pPr>
        <w:numPr>
          <w:ilvl w:val="1"/>
          <w:numId w:val="1002"/>
        </w:numPr>
        <w:pStyle w:val="Compact"/>
      </w:pPr>
      <w:r>
        <w:t xml:space="preserve">AI inequality story:</w:t>
      </w:r>
      <w:r>
        <w:t xml:space="preserve"> </w:t>
      </w:r>
      <w:r>
        <w:t xml:space="preserve">“</w:t>
      </w:r>
      <w:r>
        <w:t xml:space="preserve">Mahler, Wang &amp; Weber (2026)</w:t>
      </w:r>
      <w:r>
        <w:t xml:space="preserve">”</w:t>
      </w:r>
    </w:p>
    <w:p>
      <w:pPr>
        <w:numPr>
          <w:ilvl w:val="1"/>
          <w:numId w:val="1002"/>
        </w:numPr>
        <w:pStyle w:val="Compact"/>
      </w:pPr>
      <w:r>
        <w:t xml:space="preserve">Atlas overview/statistics:</w:t>
      </w:r>
      <w:r>
        <w:t xml:space="preserve"> </w:t>
      </w:r>
      <w:r>
        <w:t xml:space="preserve">“</w:t>
      </w:r>
      <w:r>
        <w:t xml:space="preserve">Pirlea et al. (2026 — Atlas)</w:t>
      </w:r>
      <w:r>
        <w:t xml:space="preserve">”</w:t>
      </w:r>
    </w:p>
    <w:p>
      <w:pPr>
        <w:numPr>
          <w:ilvl w:val="1"/>
          <w:numId w:val="1002"/>
        </w:numPr>
        <w:pStyle w:val="Compact"/>
      </w:pPr>
      <w:r>
        <w:t xml:space="preserve">Commodity markets blog:</w:t>
      </w:r>
      <w:r>
        <w:t xml:space="preserve"> </w:t>
      </w:r>
      <w:r>
        <w:t xml:space="preserve">“</w:t>
      </w:r>
      <w:r>
        <w:t xml:space="preserve">Agnolucci, Kenworthy &amp; Kose (2026)</w:t>
      </w:r>
      <w:r>
        <w:t xml:space="preserve">”</w:t>
      </w:r>
    </w:p>
    <w:p>
      <w:pPr>
        <w:numPr>
          <w:ilvl w:val="1"/>
          <w:numId w:val="1002"/>
        </w:numPr>
        <w:pStyle w:val="Compact"/>
      </w:pPr>
      <w:r>
        <w:t xml:space="preserve">AI financial supervision G20:</w:t>
      </w:r>
      <w:r>
        <w:t xml:space="preserve"> </w:t>
      </w:r>
      <w:r>
        <w:t xml:space="preserve">“</w:t>
      </w:r>
      <w:r>
        <w:t xml:space="preserve">Boeddu et al. (2025)</w:t>
      </w:r>
      <w:r>
        <w:t xml:space="preserve">”</w:t>
      </w:r>
    </w:p>
    <w:p>
      <w:pPr>
        <w:numPr>
          <w:ilvl w:val="0"/>
          <w:numId w:val="1001"/>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w:t>
      </w:r>
      <w:r>
        <w:t xml:space="preserve"> </w:t>
      </w:r>
      <w:r>
        <w:t xml:space="preserve">“</w:t>
      </w:r>
      <w:r>
        <w:t xml:space="preserve">Enterprise Singapore (2025)</w:t>
      </w:r>
      <w:r>
        <w:t xml:space="preserve">”</w:t>
      </w:r>
    </w:p>
    <w:p>
      <w:pPr>
        <w:numPr>
          <w:ilvl w:val="1"/>
          <w:numId w:val="1003"/>
        </w:numPr>
        <w:pStyle w:val="Compact"/>
      </w:pPr>
      <w:r>
        <w:t xml:space="preserve">Digital government rankings:</w:t>
      </w:r>
      <w:r>
        <w:t xml:space="preserve"> </w:t>
      </w:r>
      <w:r>
        <w:t xml:space="preserve">“</w:t>
      </w:r>
      <w:r>
        <w:t xml:space="preserve">GovTech Singapore (2024)</w:t>
      </w:r>
      <w:r>
        <w:t xml:space="preserve">”</w:t>
      </w:r>
    </w:p>
    <w:p>
      <w:pPr>
        <w:numPr>
          <w:ilvl w:val="1"/>
          <w:numId w:val="1003"/>
        </w:numPr>
        <w:pStyle w:val="Compact"/>
      </w:pPr>
      <w:r>
        <w:t xml:space="preserve">ATxSG summit:</w:t>
      </w:r>
      <w:r>
        <w:t xml:space="preserve"> </w:t>
      </w:r>
      <w:r>
        <w:t xml:space="preserve">“</w:t>
      </w:r>
      <w:r>
        <w:t xml:space="preserve">IMDA (2025)</w:t>
      </w:r>
      <w:r>
        <w:t xml:space="preserve">”</w:t>
      </w:r>
    </w:p>
    <w:p>
      <w:pPr>
        <w:numPr>
          <w:ilvl w:val="1"/>
          <w:numId w:val="1003"/>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04"/>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04"/>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04"/>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04"/>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40"/>
    <w:bookmarkStart w:id="41"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41"/>
    <w:bookmarkStart w:id="42"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42"/>
    <w:bookmarkEnd w:id="43"/>
    <w:bookmarkStart w:id="44"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44"/>
    <w:bookmarkStart w:id="45"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45"/>
    <w:bookmarkStart w:id="46"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46"/>
    <w:bookmarkStart w:id="47"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47"/>
    <w:bookmarkStart w:id="51"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48"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49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48"/>
    <w:bookmarkStart w:id="49"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49"/>
    <w:bookmarkStart w:id="50"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50"/>
    <w:bookmarkEnd w:id="51"/>
    <w:bookmarkEnd w:id="5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2026-05-25T17:00:42Z</dcterms:created>
  <dcterms:modified xsi:type="dcterms:W3CDTF">2026-05-25T17:00:42Z</dcterms:modified>
</cp:coreProperties>
</file>

<file path=docProps/custom.xml><?xml version="1.0" encoding="utf-8"?>
<Properties xmlns="http://schemas.openxmlformats.org/officeDocument/2006/custom-properties" xmlns:vt="http://schemas.openxmlformats.org/officeDocument/2006/docPropsVTypes"/>
</file>