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2</w:t>
      </w:r>
    </w:p>
    <w:p>
      <w:pPr>
        <w:jc w:val="center"/>
      </w:pPr>
      <w:r>
        <w:t> </w:t>
      </w:r>
    </w:p>
    <w:p>
      <w:pPr>
        <w:jc w:val="center"/>
        <w:spacing w:after="120"/>
      </w:pPr>
      <w:r>
        <w:rPr>
          <w:b/>
          <w:sz w:val="34"/>
        </w:rPr>
        <w:t xml:space="preserve">XÂY DỰNG MÔ HÌNH NGHIÊN CỨU VỀ ẢNH HƯỞNG CỦA QUỐC TẾ HÓA ĐẾN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chữ S (S-curve), chữ M (M-curve), và gánh nặng bắt buộc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chữ S;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thiết lập,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(mục tiêu JED), P4 Singapore (mục tiêu MIR), P5 Trung Quốc (mục tiêu IJOEM),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institutional spectrum;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(target JED), P4 Singapore (target MIR), P5 China (target IJOEM),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90"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chữ S (S-curve; Lu &amp; Beamish, 2004; Contractor, Kundu &amp; Hsu, 2003; Ruigrok &amp; Wagner, 2003), chữ M (M-curve; Riahi-Belkaoui, 1998), và gánh nặng bắt buộc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Fan &amp; Chen,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mục tiêu JED)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mục tiêu MIR) phân tích 623 doanh nghiệp WBES 2023, cho thấy điểm uốn hàm ý ở FSTS khoảng 88,6% và DAI hoạt động như nguồn lực mở rộng tình huống với hệ số DAI×FSTS² = +3,119 (p = 0,005). P5 Trung Quốc (Đỗ &amp; Phan, 2026b, mục tiêu IJOEM)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Mô hình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thiết lập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Thiết lập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5"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đường cong chữ S ba giai đoạn (S-curve).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chữ S có hệ số β₁(FSTS) &gt; 0, β₂(FSTS²) &lt; 0, β₃(FSTS³) &gt; 0. Bằng chứng hỗ trợ mạnh từ các MNE lớn, nhưng kém ổn định hơn với doanh nghiệp vừa và nhỏ.</w:t>
      </w:r>
    </w:p>
    <w:p>
      <w:pPr>
        <w:pStyle w:val="BodyText"/>
      </w:pPr>
      <w:r>
        <w:t xml:space="preserve">Dạng hàm thứ tư, đường cong chữ M (M-curve). Riahi-Belkaoui (1998) đề xuất dạng chữ M với hai điểm uốn, phản ánh tính không đồng nhất trong lợi ích quốc tế hóa theo loại thị trường. Bằng chứng thực nghiệm hạn chế và khó tái lập.</w:t>
      </w:r>
    </w:p>
    <w:p>
      <w:pPr>
        <w:pStyle w:val="BodyText"/>
      </w:pPr>
      <w:r>
        <w:t xml:space="preserve">Dạng hàm thứ năm, gánh nặng bắt buộc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Chữ S ba giai đoạn (S-curve)</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Chữ M (M-curve)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toàn cảnh về quan hệ quốc tế hóa và hiệu quả.</w:t>
      </w:r>
    </w:p>
    <w:p>
      <w:pPr>
        <w:pStyle w:val="BodyText"/>
      </w:pPr>
      <w:r>
        <w:t xml:space="preserve">Bausch và Krist (2007) phân tích 36 nghiên cứu (41 mẫu, 1980–2005) và tìm thấy hiệu ứng trung bình dương nhỏ,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8/36 nghiên cứu), không kiểm định phi tuyến có hệ thống.</w:t>
      </w:r>
    </w:p>
    <w:p>
      <w:pPr>
        <w:pStyle w:val="BodyText"/>
      </w:pPr>
      <w:r>
        <w:t xml:space="preserve">Kirca và cộng sự (2012) tổng hợp 152 mẫu độc lập từ 141 nghiên cứu,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359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 Bổ sung cho Marano, Beugelsdijk và cộng sự (2018) tổng hợp bằng chứng về khoảng cách văn hóa trong quá trình quốc tế hóa và cho thấy hệ quả của quốc tế hóa phụ thuộc một cách hệ thống vào khoảng cách văn hóa và thể chế giữa thị trường nguồn và đích; phát hiện này bổ trợ cho phổ thể chế ICRV của CĐ2 ở chỗ khoảng cách và chất lượng thể chế là hai chiều bối cảnh khác nhau cùng định hình quan hệ, không trùng lặp.</w:t>
      </w:r>
    </w:p>
    <w:p>
      <w:pPr>
        <w:pStyle w:val="BodyText"/>
      </w:pPr>
      <w:r>
        <w:t xml:space="preserve">Wu, Fan và Chen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Một phần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Một phần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Fan &amp; Chen (2022)</w:t>
            </w:r>
          </w:p>
        </w:tc>
        <w:tc>
          <w:tcPr/>
          <w:p>
            <w:pPr>
              <w:pStyle w:val="Compact"/>
              <w:jc w:val="left"/>
            </w:pPr>
            <w:r>
              <w:t xml:space="preserve">Có (TP thấp hơn EMNE)</w:t>
            </w:r>
          </w:p>
        </w:tc>
        <w:tc>
          <w:tcPr/>
          <w:p>
            <w:pPr>
              <w:pStyle w:val="Compact"/>
              <w:jc w:val="left"/>
            </w:pPr>
            <w:r>
              <w:t xml:space="preserve">Một phần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chữ S)</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Một phần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mục tiêu JED):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thiết lập mô hình P3: P3 Vietnam sử dụng chuỗi M0–M8 riêng, trong đó M8 là mô hình đầy đủ:</w:t>
      </w:r>
      <w:r>
        <w:rPr>
          <w:iCs/>
          <w:i/>
        </w:rPr>
        <w:t xml:space="preserve"> </w:t>
      </w: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w:r>
        <w:rPr>
          <w:iCs/>
          <w:i/>
        </w:rPr>
        <w:t xml:space="preserve">. Mô hình đầy đủ M0–M8 và bảng định nghĩa biến được trình bày trong bản thảo P3 (Mục 3.2–Mục 3.3) và luận án (Mục 4.5.1). Chuỗi M0–M7 trong Chuyên đề 2 là các mô hình cấp độ mẫu gộp 50 nền kinh tế, khác với mô hình cấp độ quốc gia của P3.</w:t>
      </w:r>
    </w:p>
    <w:p>
      <w:pPr>
        <w:pStyle w:val="BodyText"/>
      </w:pPr>
      <w:r>
        <w:t xml:space="preserve">P4 Singapore (Mar, Đỗ &amp; Phan, 2026, mục tiêu MIR):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mục tiêu IJOEM):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JED (mục tiêu)</w:t>
            </w:r>
          </w:p>
        </w:tc>
        <w:tc>
          <w:tcPr/>
          <w:p>
            <w:pPr>
              <w:pStyle w:val="Compact"/>
              <w:jc w:val="left"/>
            </w:pPr>
            <w:r>
              <w:t xml:space="preserve">MIR (mục tiêu)</w:t>
            </w:r>
          </w:p>
        </w:tc>
        <w:tc>
          <w:tcPr/>
          <w:p>
            <w:pPr>
              <w:pStyle w:val="Compact"/>
              <w:jc w:val="left"/>
            </w:pPr>
            <w:r>
              <w:t xml:space="preserve">IJOEM (mục tiêu)</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(Bậc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tầng-4-lý-thuyết-thượng-tầng-quản-trị"/>
    <w:p>
      <w:pPr>
        <w:pStyle w:val="Heading5"/>
      </w:pPr>
      <w:r>
        <w:t xml:space="preserve">Tầng 4: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(Bậc 3–4); và áp dụng số nền tảng (DAI) gồm sử dụng hạ tầng số cơ bản (website, e-commerce, e-payment), đo lường bằng Bậc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Bậc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Bậc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w:t>
            </w:r>
            <w:r>
              <w:t xml:space="preserve"> </w:t>
            </w:r>
            <m:oMath>
              <m:r>
                <m:t>β</m:t>
              </m:r>
              <m:r>
                <m:rPr>
                  <m:sty m:val="p"/>
                </m:rPr>
                <m:t>=</m:t>
              </m:r>
              <m:r>
                <m:t>0</m:t>
              </m:r>
              <m:r>
                <m:rPr>
                  <m:sty m:val="p"/>
                </m:rPr>
                <m:t>,</m:t>
              </m:r>
              <m:r>
                <m:t>179</m:t>
              </m:r>
            </m:oMath>
            <w:r>
              <w:t xml:space="preserve"> </w:t>
            </w:r>
            <w:r>
              <w:t xml:space="preserve">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w:t>
            </w:r>
            <w:r>
              <w:t xml:space="preserve"> </w:t>
            </w:r>
            <m:oMath>
              <m:r>
                <m:rPr>
                  <m:nor/>
                  <m:sty m:val="p"/>
                </m:rPr>
                <m:t>DAI</m:t>
              </m:r>
              <m:r>
                <m:rPr>
                  <m:sty m:val="p"/>
                </m:rPr>
                <m:t>×</m:t>
              </m:r>
              <m:sSup>
                <m:e>
                  <m:r>
                    <m:rPr>
                      <m:nor/>
                      <m:sty m:val="p"/>
                    </m:rPr>
                    <m:t>FSTS</m:t>
                  </m:r>
                </m:e>
                <m:sup>
                  <m:r>
                    <m:t>2</m:t>
                  </m:r>
                </m:sup>
              </m:sSup>
              <m:r>
                <m:rPr>
                  <m:sty m:val="p"/>
                </m:rPr>
                <m:t>=</m:t>
              </m:r>
              <m:r>
                <m:rPr>
                  <m:sty m:val="p"/>
                </m:rPr>
                <m:t>+</m:t>
              </m:r>
              <m:r>
                <m:t>3</m:t>
              </m:r>
              <m:r>
                <m:rPr>
                  <m:sty m:val="p"/>
                </m:rPr>
                <m:t>,</m:t>
              </m:r>
              <m:r>
                <m:t>119</m:t>
              </m:r>
            </m:oMath>
            <w:r>
              <w:t xml:space="preserve"> </w:t>
            </w:r>
            <w:r>
              <w:t xml:space="preserve">(Nhóm I); P3: IV null (</w:t>
            </w:r>
            <m:oMath>
              <m:r>
                <m:t>β</m:t>
              </m:r>
              <m:r>
                <m:rPr>
                  <m:sty m:val="p"/>
                </m:rPr>
                <m:t>=</m:t>
              </m:r>
              <m:r>
                <m:t>0</m:t>
              </m:r>
              <m:r>
                <m:rPr>
                  <m:sty m:val="p"/>
                </m:rPr>
                <m:t>,</m:t>
              </m:r>
              <m:r>
                <m:t>018</m:t>
              </m:r>
            </m:oMath>
            <w:r>
              <w:t xml:space="preserve">,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Bậc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Bậc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Bậc 1 là ràng buộc đo lường; tác động dương theo OLS nhưng biến mất sau hiệu chỉnh nội sinh biến công cụ (β = 0,018, p = 0,942; P3). Nhóm III (Trung Quốc, Upper-Middle/Emerging transition, bão hòa số trung bình): DAI Bậc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r>
                <m:rPr>
                  <m:sty m:val="p"/>
                </m:rPr>
                <m:t>&gt;</m:t>
              </m:r>
              <m:r>
                <m:t>0</m:t>
              </m:r>
            </m:oMath>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2</m:t>
                  </m:r>
                </m:sup>
              </m:sSup>
            </m:oMath>
          </w:p>
        </w:tc>
        <w:tc>
          <w:tcPr/>
          <w:p>
            <w:pPr>
              <w:pStyle w:val="Compact"/>
              <w:jc w:val="left"/>
            </w:pPr>
            <m:oMath>
              <m:sSub>
                <m:e>
                  <m:r>
                    <m:t>β</m:t>
                  </m:r>
                </m:e>
                <m:sub>
                  <m:r>
                    <m:t>2</m:t>
                  </m:r>
                </m:sub>
              </m:sSub>
              <m:r>
                <m:rPr>
                  <m:sty m:val="p"/>
                </m:rPr>
                <m:t>&lt;</m:t>
              </m:r>
              <m:r>
                <m:t>0</m:t>
              </m:r>
            </m:oMath>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Chữ S</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3</m:t>
                  </m:r>
                </m:sup>
              </m:sSup>
            </m:oMath>
          </w:p>
        </w:tc>
        <w:tc>
          <w:tcPr/>
          <w:p>
            <w:pPr>
              <w:pStyle w:val="Compact"/>
              <w:jc w:val="left"/>
            </w:pPr>
            <m:oMath>
              <m:sSub>
                <m:e>
                  <m:r>
                    <m:t>β</m:t>
                  </m:r>
                </m:e>
                <m:sub>
                  <m:r>
                    <m:t>3</m:t>
                  </m:r>
                </m:sub>
              </m:sSub>
              <m:r>
                <m:rPr>
                  <m:sty m:val="p"/>
                </m:rPr>
                <m:t>&gt;</m:t>
              </m:r>
              <m:r>
                <m:t>0</m:t>
              </m:r>
            </m:oMath>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 ($</w:t>
            </w:r>
            <w:r>
              <w:t xml:space="preserve">$3/4 items)</w:t>
            </w:r>
          </w:p>
        </w:tc>
        <w:tc>
          <w:tcPr/>
          <w:p>
            <w:pPr>
              <w:pStyle w:val="Compact"/>
              <w:jc w:val="left"/>
            </w:pPr>
            <m:oMath>
              <m:r>
                <m:t>β</m:t>
              </m:r>
              <m:r>
                <m:rPr>
                  <m:sty m:val="p"/>
                </m:rPr>
                <m:t>&gt;</m:t>
              </m:r>
              <m:r>
                <m:t>0</m:t>
              </m:r>
            </m:oMath>
            <w:r>
              <w:t xml:space="preserve"> </w:t>
            </w:r>
            <w:r>
              <w:t xml:space="preserve">(trực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(Bậc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m:oMath>
              <m:r>
                <m:rPr>
                  <m:nor/>
                  <m:sty m:val="p"/>
                </m:rPr>
                <m:t>FSTS</m:t>
              </m:r>
              <m:r>
                <m:rPr>
                  <m:sty m:val="p"/>
                </m:rPr>
                <m:t>×</m:t>
              </m:r>
              <m:r>
                <m:rPr>
                  <m:nor/>
                  <m:sty m:val="p"/>
                </m:rPr>
                <m:t>TCI</m:t>
              </m:r>
            </m:oMath>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m:oMath>
              <m:sSub>
                <m:e>
                  <m:r>
                    <m:t>β</m:t>
                  </m:r>
                </m:e>
                <m:sub>
                  <m:r>
                    <m:rPr>
                      <m:nor/>
                      <m:sty m:val="p"/>
                    </m:rPr>
                    <m:t>mod</m:t>
                  </m:r>
                </m:sub>
              </m:sSub>
            </m:oMath>
            <w:r>
              <w:t xml:space="preserve">: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m:oMath>
              <m:r>
                <m:t>β</m:t>
              </m:r>
              <m:r>
                <m:rPr>
                  <m:sty m:val="p"/>
                </m:rPr>
                <m:t>&gt;</m:t>
              </m:r>
              <m:r>
                <m:t>0</m:t>
              </m:r>
            </m:oMath>
            <w:r>
              <w:t xml:space="preserve"> </w:t>
            </w:r>
            <w:r>
              <w:t xml:space="preserve">(Nhóm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m:oMath>
              <m:r>
                <m:t>β</m:t>
              </m:r>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m:oMath>
              <m:r>
                <m:t>β</m:t>
              </m:r>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Khám phá, hai phía</w:t>
            </w:r>
          </w:p>
        </w:tc>
        <w:tc>
          <w:tcPr/>
          <w:p>
            <w:pPr>
              <w:pStyle w:val="Compact"/>
              <w:jc w:val="left"/>
            </w:pPr>
            <w:r>
              <w:t xml:space="preserve">H4c</w:t>
            </w:r>
          </w:p>
        </w:tc>
      </w:tr>
      <w:tr>
        <w:tc>
          <w:tcPr/>
          <w:p>
            <w:pPr>
              <w:pStyle w:val="Compact"/>
              <w:jc w:val="left"/>
            </w:pPr>
            <m:oMath>
              <m:sSub>
                <m:e>
                  <m:r>
                    <m:rPr>
                      <m:nor/>
                      <m:sty m:val="p"/>
                    </m:rPr>
                    <m:t>ICRV</m:t>
                  </m:r>
                </m:e>
                <m:sub>
                  <m:r>
                    <m:t>j</m:t>
                  </m:r>
                </m:sub>
              </m:sSub>
            </m:oMath>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m:oMath>
              <m:r>
                <m:t>β</m:t>
              </m:r>
              <m:r>
                <m:rPr>
                  <m:sty m:val="p"/>
                </m:rPr>
                <m:t>&gt;</m:t>
              </m:r>
              <m:r>
                <m:t>0</m:t>
              </m:r>
            </m:oMath>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m:oMath>
              <m:r>
                <m:t>β</m:t>
              </m:r>
            </m:oMath>
            <w:r>
              <w:t xml:space="preserve"> </w:t>
            </w:r>
            <w:r>
              <w:t xml:space="preserve">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m:oMath>
              <m:r>
                <m:t>β</m:t>
              </m:r>
              <m:r>
                <m:rPr>
                  <m:sty m:val="p"/>
                </m:rPr>
                <m:t>&gt;</m:t>
              </m:r>
              <m:r>
                <m:t>0</m:t>
              </m:r>
            </m:oMath>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(Bậc 1+2): z-mean(c22b + k33 + k38) chỉ có trong lược đồ BEE (2019 trở đi). DAI_z_tier1 (Bậc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độ lớn khám phá). H4c là hoàn toàn khám phá (hai phía,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đường cong chữ S: giai đoạn học tập tốn kém; giai đoạn hái quả; giai đoạn quá mức. Với các doanh nghiệp vừa và nhỏ châu Á trong WBES, giai đoạn đầu ngắn, do đó dạng chữ U ngược (H1 bậc hai, M1) có thể mạnh hơn chữ S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Li và cộng sự, 2022).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r>
                <m:t>119</m:t>
              </m:r>
            </m:oMath>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(Bậc 1 mất tín hiệu phân biệt)</w:t>
            </w:r>
          </w:p>
        </w:tc>
        <w:tc>
          <w:tcPr/>
          <w:p>
            <w:pPr>
              <w:pStyle w:val="Compact"/>
              <w:jc w:val="left"/>
            </w:pPr>
            <w:r>
              <w:t xml:space="preserve">Bậc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w:t>
            </w:r>
            <m:oMath>
              <m:r>
                <m:t>β</m:t>
              </m:r>
              <m:r>
                <m:rPr>
                  <m:sty m:val="p"/>
                </m:rPr>
                <m:t>=</m:t>
              </m:r>
              <m:r>
                <m:t>0</m:t>
              </m:r>
              <m:r>
                <m:rPr>
                  <m:sty m:val="p"/>
                </m:rPr>
                <m:t>,</m:t>
              </m:r>
              <m:r>
                <m:t>018</m:t>
              </m:r>
            </m:oMath>
            <w:r>
              <w:t xml:space="preserve">;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giả thuyết con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Bậc 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giả thuyết con (giả thuyết tính phân biệt CDCM,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giả thuyết con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hai phía. Bằng chứng trong tài liệu lý thuyết thượng tầng quản trị không đồng nhất về chiều hướng cho châu Á (Hambrick, 2007); H4c vì vậy là khám phá.</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(phân biệt de jure trên giấy và de facto thực thi thực tế; Xu, 2024),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Fan và Chen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w:t>
            </w:r>
            <w:r>
              <w:t xml:space="preserve"> </w:t>
            </w:r>
            <m:oMath>
              <m:r>
                <m:rPr>
                  <m:nor/>
                  <m:sty m:val="p"/>
                </m:rPr>
                <m:t>FSTS</m:t>
              </m:r>
              <m:r>
                <m:rPr>
                  <m:sty m:val="p"/>
                </m:rPr>
                <m:t>×</m:t>
              </m:r>
              <m:r>
                <m:rPr>
                  <m:nor/>
                  <m:sty m:val="p"/>
                </m:rPr>
                <m:t>TCI</m:t>
              </m:r>
            </m:oMath>
          </w:p>
        </w:tc>
        <w:tc>
          <w:tcPr/>
          <w:p>
            <w:pPr>
              <w:pStyle w:val="Compact"/>
              <w:jc w:val="left"/>
            </w:pPr>
            <m:oMath>
              <m:r>
                <m:t>β</m:t>
              </m:r>
              <m:d>
                <m:dPr>
                  <m:begChr m:val="("/>
                  <m:endChr m:val=")"/>
                  <m:sepChr m:val=""/>
                  <m:grow/>
                </m:dPr>
                <m:e>
                  <m:r>
                    <m:rPr>
                      <m:nor/>
                      <m:sty m:val="p"/>
                    </m:rPr>
                    <m:t>TCI</m:t>
                  </m:r>
                </m:e>
              </m:d>
              <m:r>
                <m:rPr>
                  <m:sty m:val="p"/>
                </m:rPr>
                <m:t>&gt;</m:t>
              </m:r>
              <m:r>
                <m:t>0</m:t>
              </m:r>
            </m:oMath>
            <w:r>
              <w:t xml:space="preserve">;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w:t>
            </w:r>
            <w:r>
              <w:t xml:space="preserve"> </w:t>
            </w:r>
            <m:oMath>
              <m:r>
                <m:rPr>
                  <m:nor/>
                  <m:sty m:val="p"/>
                </m:rPr>
                <m:t>FSTS</m:t>
              </m:r>
              <m:r>
                <m:rPr>
                  <m:sty m:val="p"/>
                </m:rPr>
                <m:t>×</m:t>
              </m:r>
              <m:r>
                <m:rPr>
                  <m:nor/>
                  <m:sty m:val="p"/>
                </m:rPr>
                <m:t>DAI</m:t>
              </m:r>
            </m:oMath>
          </w:p>
        </w:tc>
        <w:tc>
          <w:tcPr/>
          <w:p>
            <w:pPr>
              <w:pStyle w:val="Compact"/>
              <w:jc w:val="left"/>
            </w:pP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Direct: null/–; cond:</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w:t>
            </w:r>
            <w:r>
              <w:t xml:space="preserve"> </w:t>
            </w:r>
            <m:oMath>
              <m:r>
                <m:rPr>
                  <m:nor/>
                  <m:sty m:val="p"/>
                </m:rPr>
                <m:t>FSTS</m:t>
              </m:r>
              <m:r>
                <m:rPr>
                  <m:sty m:val="p"/>
                </m:rPr>
                <m:t>×</m:t>
              </m:r>
              <m:r>
                <m:rPr>
                  <m:nor/>
                  <m:sty m:val="p"/>
                </m:rPr>
                <m:t>exp</m:t>
              </m:r>
            </m:oMath>
          </w:p>
        </w:tc>
        <w:tc>
          <w:tcPr/>
          <w:p>
            <w:pPr>
              <w:pStyle w:val="Compact"/>
              <w:jc w:val="left"/>
            </w:pPr>
            <m:oMath>
              <m:r>
                <m:t>β</m:t>
              </m:r>
              <m:d>
                <m:dPr>
                  <m:begChr m:val="("/>
                  <m:endChr m:val=")"/>
                  <m:sepChr m:val=""/>
                  <m:grow/>
                </m:dPr>
                <m:e>
                  <m:r>
                    <m:rPr>
                      <m:nor/>
                      <m:sty m:val="p"/>
                    </m:rPr>
                    <m:t>FSTS</m:t>
                  </m:r>
                  <m:r>
                    <m:rPr>
                      <m:sty m:val="p"/>
                    </m:rPr>
                    <m:t>×</m:t>
                  </m:r>
                  <m:r>
                    <m:rPr>
                      <m:nor/>
                      <m:sty m:val="p"/>
                    </m:rPr>
                    <m:t>exp</m:t>
                  </m:r>
                </m:e>
              </m:d>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w:t>
            </w:r>
            <w:r>
              <w:t xml:space="preserve"> </w:t>
            </w:r>
            <m:oMath>
              <m:r>
                <m:rPr>
                  <m:nor/>
                  <m:sty m:val="p"/>
                </m:rPr>
                <m:t>FSTS</m:t>
              </m:r>
              <m:r>
                <m:rPr>
                  <m:sty m:val="p"/>
                </m:rPr>
                <m:t>×</m:t>
              </m:r>
              <m:r>
                <m:rPr>
                  <m:nor/>
                  <m:sty m:val="p"/>
                </m:rPr>
                <m:t>educ</m:t>
              </m:r>
            </m:oMath>
          </w:p>
        </w:tc>
        <w:tc>
          <w:tcPr/>
          <w:p>
            <w:pPr>
              <w:pStyle w:val="Compact"/>
              <w:jc w:val="left"/>
            </w:pPr>
            <m:oMath>
              <m:r>
                <m:t>β</m:t>
              </m:r>
              <m:d>
                <m:dPr>
                  <m:begChr m:val="("/>
                  <m:endChr m:val=")"/>
                  <m:sepChr m:val=""/>
                  <m:grow/>
                </m:dPr>
                <m:e>
                  <m:r>
                    <m:rPr>
                      <m:nor/>
                      <m:sty m:val="p"/>
                    </m:rPr>
                    <m:t>FSTS</m:t>
                  </m:r>
                  <m:r>
                    <m:rPr>
                      <m:sty m:val="p"/>
                    </m:rPr>
                    <m:t>×</m:t>
                  </m:r>
                  <m:r>
                    <m:rPr>
                      <m:nor/>
                      <m:sty m:val="p"/>
                    </m:rPr>
                    <m:t>educ</m:t>
                  </m:r>
                </m:e>
              </m:d>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w:t>
            </w:r>
            <w:r>
              <w:t xml:space="preserve"> </w:t>
            </w:r>
            <m:oMath>
              <m:r>
                <m:rPr>
                  <m:nor/>
                  <m:sty m:val="p"/>
                </m:rPr>
                <m:t>FSTS</m:t>
              </m:r>
              <m:r>
                <m:rPr>
                  <m:sty m:val="p"/>
                </m:rPr>
                <m:t>×</m:t>
              </m:r>
              <m:r>
                <m:rPr>
                  <m:nor/>
                  <m:sty m:val="p"/>
                </m:rPr>
                <m:t>gender</m:t>
              </m:r>
            </m:oMath>
          </w:p>
        </w:tc>
        <w:tc>
          <w:tcPr/>
          <w:p>
            <w:pPr>
              <w:pStyle w:val="Compact"/>
              <w:jc w:val="left"/>
            </w:pPr>
            <w:r>
              <w:t xml:space="preserve">Khám phá, hai phía</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m:oMath>
              <m:sSub>
                <m:e>
                  <m:r>
                    <m:rPr>
                      <m:nor/>
                      <m:sty m:val="p"/>
                    </m:rPr>
                    <m:t>ICRV</m:t>
                  </m:r>
                </m:e>
                <m:sub>
                  <m:r>
                    <m:t>j</m:t>
                  </m:r>
                </m:sub>
              </m:sSub>
              <m:r>
                <m:rPr>
                  <m:sty m:val="p"/>
                </m:rPr>
                <m:t>×</m:t>
              </m:r>
              <m:r>
                <m:rPr>
                  <m:nor/>
                  <m:sty m:val="p"/>
                </m:rPr>
                <m:t>FSTS</m:t>
              </m:r>
            </m:oMath>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m:oMath>
              <m:r>
                <m:rPr>
                  <m:nor/>
                  <m:sty m:val="p"/>
                </m:rPr>
                <m:t>Year_bucket</m:t>
              </m:r>
              <m:r>
                <m:rPr>
                  <m:sty m:val="p"/>
                </m:rPr>
                <m:t>×</m:t>
              </m:r>
              <m:r>
                <m:rPr>
                  <m:nor/>
                  <m:sty m:val="p"/>
                </m:rPr>
                <m:t>FSTS</m:t>
              </m:r>
            </m:oMath>
          </w:p>
        </w:tc>
        <w:tc>
          <w:tcPr/>
          <w:p>
            <w:pPr>
              <w:pStyle w:val="Compact"/>
              <w:jc w:val="left"/>
            </w:pPr>
            <m:oMath>
              <m:r>
                <m:t>β</m:t>
              </m:r>
              <m:d>
                <m:dPr>
                  <m:begChr m:val="("/>
                  <m:endChr m:val=")"/>
                  <m:sepChr m:val=""/>
                  <m:grow/>
                </m:dPr>
                <m:e>
                  <m:r>
                    <m:rPr>
                      <m:nor/>
                      <m:sty m:val="p"/>
                    </m:rPr>
                    <m:t>FSTS</m:t>
                  </m:r>
                  <m:r>
                    <m:rPr>
                      <m:sty m:val="p"/>
                    </m:rPr>
                    <m:t>×</m:t>
                  </m:r>
                  <m:r>
                    <m:rPr>
                      <m:nor/>
                      <m:sty m:val="p"/>
                    </m:rPr>
                    <m:t>Year</m:t>
                  </m:r>
                </m:e>
              </m:d>
              <m:r>
                <m:rPr>
                  <m:sty m:val="p"/>
                </m:rPr>
                <m:t>≠</m:t>
              </m:r>
              <m:r>
                <m:t>0</m:t>
              </m:r>
            </m:oMath>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tính phân biệt,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mô-hình"/>
    <w:p>
      <w:pPr>
        <w:pStyle w:val="Heading5"/>
      </w:pPr>
      <w:r>
        <w:t xml:space="preserve">Nguyên tắc mô hình</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trong nội tệ / lao động thường xuyên), chuẩn hóa z trong cụm nền kinh tế × năm (xem Mục 2.3.6); sai số chuẩn HC1 robust (Long &amp; Ervin, 2000) làm chuẩn; hiệu ứng cố định quốc gia (</w:t>
      </w:r>
      <m:oMath>
        <m:sSub>
          <m:e>
            <m:r>
              <m:t>α</m:t>
            </m:r>
          </m:e>
          <m:sub>
            <m:r>
              <m:t>j</m:t>
            </m:r>
          </m:sub>
        </m:sSub>
      </m:oMath>
      <w:r>
        <w:t xml:space="preserve">) và năm (</w:t>
      </w:r>
      <m:oMath>
        <m:sSub>
          <m:e>
            <m:r>
              <m:t>δ</m:t>
            </m:r>
          </m:e>
          <m:sub>
            <m:r>
              <m:t>t</m:t>
            </m:r>
          </m:sub>
        </m:sSub>
      </m:oMath>
      <w:r>
        <w:t xml:space="preserve">); FSTS được tính trung tâm theo mean trước khi tính</w:t>
      </w:r>
      <w:r>
        <w:t xml:space="preserve"> </w:t>
      </w:r>
      <m:oMath>
        <m:sSup>
          <m:e>
            <m:r>
              <m:rPr>
                <m:sty m:val="p"/>
              </m:rPr>
              <m:t>F</m:t>
            </m:r>
            <m:r>
              <m:rPr>
                <m:sty m:val="p"/>
              </m:rPr>
              <m:t>S</m:t>
            </m:r>
            <m:r>
              <m:rPr>
                <m:sty m:val="p"/>
              </m:rPr>
              <m:t>T</m:t>
            </m:r>
            <m:r>
              <m:rPr>
                <m:sty m:val="p"/>
              </m:rPr>
              <m: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r>
          <m:rPr>
            <m:sty m:val="p"/>
          </m:rPr>
          <m:t>&gt;</m:t>
        </m:r>
        <m:r>
          <m:t>0</m:t>
        </m:r>
        <m:r>
          <m:rPr>
            <m:sty m:val="p"/>
          </m:rPr>
          <m:t>,</m:t>
        </m:r>
        <m:r>
          <m:t>01</m:t>
        </m:r>
      </m:oMath>
      <w:r>
        <w:t xml:space="preserve"> </w:t>
      </w:r>
      <w:r>
        <w:t xml:space="preserve">để thêm biến điều tiết;</w:t>
      </w:r>
      <w:r>
        <w:t xml:space="preserve"> </w:t>
      </w:r>
      <m:oMath>
        <m:r>
          <m:t>Δ</m:t>
        </m:r>
        <m:r>
          <m:rPr>
            <m:sty m:val="p"/>
          </m:rPr>
          <m:t>A</m:t>
        </m:r>
        <m:r>
          <m:rPr>
            <m:sty m:val="p"/>
          </m:rPr>
          <m:t>I</m:t>
        </m:r>
        <m:r>
          <m:rPr>
            <m:sty m:val="p"/>
          </m:rPr>
          <m:t>C</m:t>
        </m:r>
        <m:r>
          <m:rPr>
            <m:sty m:val="p"/>
          </m:rPr>
          <m:t>&lt;</m:t>
        </m:r>
        <m:r>
          <m:rPr>
            <m:sty m:val="p"/>
          </m:rPr>
          <m:t>−</m:t>
        </m:r>
        <m:r>
          <m:t>2</m:t>
        </m:r>
      </m:oMath>
      <w:r>
        <w:t xml:space="preserve"> </w:t>
      </w:r>
      <w:r>
        <w:t xml:space="preserve">ủng hộ mô hình phức tạp hơn;</w:t>
      </w:r>
      <w:r>
        <w:t xml:space="preserve"> </w:t>
      </w:r>
      <m:oMath>
        <m:r>
          <m:t>Δ</m:t>
        </m:r>
        <m:r>
          <m:rPr>
            <m:sty m:val="p"/>
          </m:rPr>
          <m:t>B</m:t>
        </m:r>
        <m:r>
          <m:rPr>
            <m:sty m:val="p"/>
          </m:rPr>
          <m:t>I</m:t>
        </m:r>
        <m:r>
          <m:rPr>
            <m:sty m:val="p"/>
          </m:rPr>
          <m:t>C</m:t>
        </m:r>
        <m:r>
          <m:rPr>
            <m:sty m:val="p"/>
          </m:rPr>
          <m:t>&lt;</m:t>
        </m:r>
        <m:r>
          <m:rPr>
            <m:sty m:val="p"/>
          </m:rPr>
          <m:t>−</m:t>
        </m:r>
        <m:r>
          <m:t>10</m:t>
        </m:r>
      </m:oMath>
      <w:r>
        <w:t xml:space="preserve"> </w:t>
      </w:r>
      <w:r>
        <w:t xml:space="preserve">là bằng chứng mạnh; F-test</w:t>
      </w:r>
      <w:r>
        <w:t xml:space="preserve"> </w:t>
      </w:r>
      <m:oMath>
        <m:r>
          <m:t>p</m:t>
        </m:r>
        <m:r>
          <m:rPr>
            <m:sty m:val="p"/>
          </m:rPr>
          <m:t>&lt;</m:t>
        </m:r>
        <m:r>
          <m:t>0</m:t>
        </m:r>
        <m:r>
          <m:rPr>
            <m:sty m:val="p"/>
          </m:rPr>
          <m:t>,</m:t>
        </m:r>
        <m:r>
          <m:t>05</m:t>
        </m:r>
      </m:oMath>
      <w:r>
        <w:t xml:space="preserve"> </w:t>
      </w:r>
      <w:r>
        <w:t xml:space="preserve">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w:t>
      </w:r>
      <w:r>
        <w:t xml:space="preserve"> </w:t>
      </w:r>
      <m:oMath>
        <m:sSub>
          <m:e>
            <m:r>
              <m:t>β</m:t>
            </m:r>
          </m:e>
          <m:sub>
            <m:r>
              <m:t>1</m:t>
            </m:r>
          </m:sub>
        </m:sSub>
        <m:r>
          <m:rPr>
            <m:sty m:val="p"/>
          </m:rPr>
          <m:t>&gt;</m:t>
        </m:r>
        <m:r>
          <m:t>0</m:t>
        </m:r>
      </m:oMath>
      <w:r>
        <w:t xml:space="preserve"> </w:t>
      </w:r>
      <w:r>
        <w:t xml:space="preserve">(tác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w:r>
        <w:t xml:space="preserve">Điểm uốn:</w:t>
      </w:r>
      <w:r>
        <w:t xml:space="preserve"> </w:t>
      </w:r>
      <m:oMath>
        <m:sSub>
          <m:e>
            <m:r>
              <m:rPr>
                <m:sty m:val="p"/>
              </m:rPr>
              <m:t>T</m:t>
            </m:r>
            <m:r>
              <m:rPr>
                <m:sty m:val="p"/>
              </m:rPr>
              <m:t>P</m:t>
            </m:r>
          </m:e>
          <m:sub>
            <m:r>
              <m:t>1</m:t>
            </m:r>
          </m:sub>
        </m:sSub>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mức FSTS tối ưu (trên thang mean-centered).</w:t>
      </w:r>
      <w:r>
        <w:t xml:space="preserve"> </w:t>
      </w:r>
      <w:r>
        <w:t xml:space="preserve">Kiểm định bổ sung: Lind–Mehlum (2010) để xác nhận chữ U ngược thực sự.</w:t>
      </w:r>
    </w:p>
    <w:bookmarkEnd w:id="65"/>
    <w:bookmarkStart w:id="66" w:name="X51cb9b2996366fdc36147f0c453aa9546199387"/>
    <w:p>
      <w:pPr>
        <w:pStyle w:val="Heading5"/>
      </w:pPr>
      <w:r>
        <w:t xml:space="preserve">M2: đường cong chữ S bậc ba (kiểm định H1 đầy đủ)</w:t>
      </w:r>
    </w:p>
    <w:p>
      <w:pPr>
        <w:pStyle w:val="FirstParagraph"/>
      </w:pPr>
    </w:p>
    <w:p>
      <w:pPr>
        <w:pStyle w:val="BodyText"/>
      </w:pPr>
      <w:r>
        <w:t xml:space="preserve">Mục đích: kiểm định đường cong chữ S ba giai đoạn (Lu &amp; Beamish, 2004; Contractor et al., 2003).</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m:oMath>
        <m:sSub>
          <m:e>
            <m:r>
              <m:t>β</m:t>
            </m:r>
          </m:e>
          <m:sub>
            <m:r>
              <m:t>3</m:t>
            </m:r>
          </m:sub>
        </m:sSub>
        <m:r>
          <m:rPr>
            <m:sty m:val="p"/>
          </m:rPr>
          <m:t>&gt;</m:t>
        </m:r>
        <m:r>
          <m:t>0</m:t>
        </m:r>
      </m:oMath>
      <w:r>
        <w:t xml:space="preserve">.</w:t>
      </w:r>
      <w:r>
        <w:t xml:space="preserve"> </w:t>
      </w:r>
      <w:r>
        <w:t xml:space="preserve">Lựa chọn mô hình: so sánh M1 và M2 bằng AIC, BIC, và F-test</w:t>
      </w:r>
      <w:r>
        <w:t xml:space="preserve"> </w:t>
      </w:r>
      <m:oMath>
        <m:sSub>
          <m:e>
            <m:r>
              <m:t>β</m:t>
            </m:r>
          </m:e>
          <m:sub>
            <m:r>
              <m:t>3</m:t>
            </m:r>
          </m:sub>
        </m:sSub>
        <m:r>
          <m:rPr>
            <m:sty m:val="p"/>
          </m:rPr>
          <m:t>=</m:t>
        </m:r>
        <m:r>
          <m:t>0</m:t>
        </m:r>
      </m:oMath>
      <w:r>
        <w:t xml:space="preserve">.</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r>
          <m:rPr>
            <m:sty m:val="p"/>
          </m:rPr>
          <m:t>&gt;</m:t>
        </m:r>
        <m:r>
          <m:t>0</m:t>
        </m:r>
      </m:oMath>
      <w:r>
        <w:t xml:space="preserve">)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r>
          <m:rPr>
            <m:sty m:val="p"/>
          </m:rPr>
          <m:t>&gt;</m:t>
        </m:r>
        <m:r>
          <m:t>0</m:t>
        </m:r>
      </m:oMath>
      <w:r>
        <w:t xml:space="preserve"> </w:t>
      </w:r>
      <w:r>
        <w:t xml:space="preserve">(hiệu ứng TCI trực tiếp).</w:t>
      </w:r>
      <w:r>
        <w:t xml:space="preserve"> </w:t>
      </w:r>
      <w:r>
        <w:t xml:space="preserve">Kiểm định: F-test (</w:t>
      </w:r>
      <m:oMath>
        <m:sSub>
          <m:e>
            <m:r>
              <m:t>β</m:t>
            </m:r>
          </m:e>
          <m:sub>
            <m:r>
              <m:t>4</m:t>
            </m:r>
          </m:sub>
        </m:sSub>
        <m:r>
          <m:rPr>
            <m:sty m:val="p"/>
          </m:rPr>
          <m:t>=</m:t>
        </m:r>
        <m:sSub>
          <m:e>
            <m:r>
              <m:t>β</m:t>
            </m:r>
          </m:e>
          <m:sub>
            <m:r>
              <m:t>5</m:t>
            </m:r>
          </m:sub>
        </m:sSub>
        <m:r>
          <m:rPr>
            <m:sty m:val="p"/>
          </m:rPr>
          <m:t>=</m:t>
        </m:r>
        <m:r>
          <m:t>0</m:t>
        </m:r>
      </m:oMath>
      <w:r>
        <w:t xml:space="preserve">) = kiểm định điều tiết kết hợp (joint moderation); nếu</w:t>
      </w:r>
      <w:r>
        <w:t xml:space="preserve"> </w:t>
      </w:r>
      <m:oMath>
        <m:r>
          <m:t>p</m:t>
        </m:r>
        <m:r>
          <m:rPr>
            <m:sty m:val="p"/>
          </m:rPr>
          <m:t>&gt;</m:t>
        </m:r>
        <m:r>
          <m:t>0</m:t>
        </m:r>
        <m:r>
          <m:rPr>
            <m:sty m:val="p"/>
          </m:rPr>
          <m:t>,</m:t>
        </m:r>
        <m:r>
          <m:t>10</m:t>
        </m:r>
      </m:oMath>
      <w:r>
        <w:t xml:space="preserve"> </w:t>
      </w:r>
      <w:r>
        <w:t xml:space="preserve">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 (nhất quán P4 Singapore</w:t>
      </w:r>
      <w:r>
        <w:t xml:space="preserve"> </w:t>
      </w:r>
      <m:oMath>
        <m:r>
          <m:rPr>
            <m:sty m:val="p"/>
          </m:rPr>
          <m:t>+</m:t>
        </m:r>
        <m:r>
          <m:t>3</m:t>
        </m:r>
        <m:r>
          <m:rPr>
            <m:sty m:val="p"/>
          </m:rPr>
          <m:t>,</m:t>
        </m:r>
        <m:r>
          <m:t>119</m:t>
        </m:r>
      </m:oMath>
      <w:r>
        <w:t xml:space="preserve">);</w:t>
      </w:r>
      <w:r>
        <w:t xml:space="preserve"> </w:t>
      </w:r>
      <m:oMath>
        <m:sSub>
          <m:e>
            <m:r>
              <m:t>β</m:t>
            </m:r>
          </m:e>
          <m:sub>
            <m:r>
              <m:t>3</m:t>
            </m:r>
          </m:sub>
        </m:sSub>
      </m:oMath>
      <w:r>
        <w:t xml:space="preserve"> </w:t>
      </w:r>
      <w:r>
        <w:t xml:space="preserve">(DAI trực tiếp) rồi</w:t>
      </w:r>
      <w:r>
        <w:t xml:space="preserve"> </w:t>
      </w:r>
      <m:oMath>
        <m:r>
          <m:t>0</m:t>
        </m:r>
      </m:oMath>
      <w:r>
        <w:t xml:space="preserve"> </w:t>
      </w:r>
      <w:r>
        <w:t xml:space="preserve">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hai phía.</w:t>
      </w:r>
      <w:r>
        <w:t xml:space="preserve"> </w:t>
      </w:r>
      <w:r>
        <w:t xml:space="preserve">Kỳ vọng:</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exp_manager</m:t>
            </m:r>
          </m:e>
        </m:d>
        <m:r>
          <m:rPr>
            <m:sty m:val="p"/>
          </m:rPr>
          <m:t>&gt;</m:t>
        </m:r>
        <m:r>
          <m:t>0</m:t>
        </m:r>
      </m:oMath>
      <w:r>
        <w:t xml:space="preserve"> </w:t>
      </w:r>
      <w:r>
        <w:t xml:space="preserve">[H4a];</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educ_manager</m:t>
            </m:r>
          </m:e>
        </m:d>
        <m:r>
          <m:rPr>
            <m:sty m:val="p"/>
          </m:rPr>
          <m:t>&gt;</m:t>
        </m:r>
        <m:r>
          <m:t>0</m:t>
        </m:r>
      </m:oMath>
      <w:r>
        <w:t xml:space="preserve"> </w:t>
      </w:r>
      <w:r>
        <w:t xml:space="preserve">[H4b];</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gender_manager</m:t>
            </m:r>
          </m:e>
        </m:d>
      </m:oMath>
      <w:r>
        <w:t xml:space="preserve">,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w:t>
      </w:r>
      <w:r>
        <w:t xml:space="preserve"> </w:t>
      </w:r>
      <m:oMath>
        <m:sSub>
          <m:e>
            <m:r>
              <m:rPr>
                <m:sty m:val="b"/>
              </m:rPr>
              <m:t>X</m:t>
            </m:r>
          </m:e>
          <m:sub>
            <m:r>
              <m:t>i</m:t>
            </m:r>
          </m:sub>
        </m:sSub>
      </m:oMath>
      <w:r>
        <w:t xml:space="preserve"> </w:t>
      </w:r>
      <w:r>
        <w:t xml:space="preserve">gồm: ln_employees, firm_age, foreign_own (</w:t>
      </w:r>
      <m:oMath>
        <m:r>
          <m:rPr>
            <m:sty m:val="p"/>
          </m:rPr>
          <m:t>≥</m:t>
        </m:r>
        <m:r>
          <m:t>10</m:t>
        </m:r>
        <m:r>
          <m:rPr>
            <m:sty m:val="p"/>
          </m:rPr>
          <m:t>%</m:t>
        </m:r>
      </m:oMath>
      <w:r>
        <w:t xml:space="preserve">), sector dummies;</w:t>
      </w:r>
      <w:r>
        <w:t xml:space="preserve"> </w:t>
      </w:r>
      <m:oMath>
        <m:sSub>
          <m:e>
            <m:r>
              <m:t>α</m:t>
            </m:r>
          </m:e>
          <m:sub>
            <m:r>
              <m:t>j</m:t>
            </m:r>
          </m:sub>
        </m:sSub>
      </m:oMath>
      <w:r>
        <w:t xml:space="preserve"> </w:t>
      </w:r>
      <w:r>
        <w:t xml:space="preserve">= country FE;</w:t>
      </w:r>
      <w:r>
        <w:t xml:space="preserve"> </w:t>
      </w:r>
      <m:oMath>
        <m:sSub>
          <m:e>
            <m:r>
              <m:t>δ</m:t>
            </m:r>
          </m:e>
          <m:sub>
            <m:r>
              <m:t>t</m:t>
            </m:r>
          </m:sub>
        </m:sSub>
      </m:oMath>
      <w:r>
        <w:t xml:space="preserve"> </w:t>
      </w:r>
      <w:r>
        <w:t xml:space="preserve">=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w:t>
      </w:r>
      <w:r>
        <w:t xml:space="preserve"> </w:t>
      </w:r>
      <m:oMath>
        <m:sSub>
          <m:e>
            <m:r>
              <m:t>β</m:t>
            </m:r>
          </m:e>
          <m:sub>
            <m:r>
              <m:t>3</m:t>
            </m:r>
          </m:sub>
        </m:sSub>
        <m:d>
          <m:dPr>
            <m:begChr m:val="("/>
            <m:endChr m:val=")"/>
            <m:sepChr m:val=""/>
            <m:grow/>
          </m:dPr>
          <m:e>
            <m:r>
              <m:rPr>
                <m:sty m:val="p"/>
              </m:rPr>
              <m:t>T</m:t>
            </m:r>
            <m:r>
              <m:rPr>
                <m:sty m:val="p"/>
              </m:rPr>
              <m:t>C</m:t>
            </m:r>
            <m:r>
              <m:rPr>
                <m:sty m:val="p"/>
              </m:rPr>
              <m:t>I</m:t>
            </m:r>
          </m:e>
        </m:d>
        <m:r>
          <m:rPr>
            <m:sty m:val="p"/>
          </m:rPr>
          <m:t>&gt;</m:t>
        </m:r>
        <m:r>
          <m:t>0</m:t>
        </m:r>
      </m:oMath>
      <w:r>
        <w:t xml:space="preserve">;</w:t>
      </w:r>
      <w:r>
        <w:t xml:space="preserve"> </w:t>
      </w:r>
      <m:oMath>
        <m:sSub>
          <m:e>
            <m:r>
              <m:t>β</m:t>
            </m:r>
          </m:e>
          <m:sub>
            <m:r>
              <m:t>12</m:t>
            </m:r>
          </m:sub>
        </m:sSub>
        <m:r>
          <m:rPr>
            <m:sty m:val="p"/>
          </m:rPr>
          <m:t>/</m:t>
        </m:r>
        <m:sSub>
          <m:e>
            <m:r>
              <m:t>β</m:t>
            </m:r>
          </m:e>
          <m:sub>
            <m:r>
              <m:t>13</m:t>
            </m:r>
          </m:sub>
        </m:sSub>
        <m:r>
          <m:rPr>
            <m:sty m:val="p"/>
          </m:rPr>
          <m:t>≠</m:t>
        </m:r>
        <m:sSub>
          <m:e>
            <m:r>
              <m:t>β</m:t>
            </m:r>
          </m:e>
          <m:sub>
            <m:r>
              <m:t>10</m:t>
            </m:r>
          </m:sub>
        </m:sSub>
        <m:r>
          <m:rPr>
            <m:sty m:val="p"/>
          </m:rPr>
          <m:t>/</m:t>
        </m:r>
        <m:sSub>
          <m:e>
            <m:r>
              <m:t>β</m:t>
            </m:r>
          </m:e>
          <m:sub>
            <m:r>
              <m:t>11</m:t>
            </m:r>
          </m:sub>
        </m:sSub>
      </m:oMath>
      <w:r>
        <w:t xml:space="preserve"> </w:t>
      </w:r>
      <w:r>
        <w:t xml:space="preserve">(dịch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r>
                <m:rPr>
                  <m:sty m:val="p"/>
                </m:rPr>
                <m:t>&gt;</m:t>
              </m:r>
              <m:r>
                <m:t>0</m:t>
              </m:r>
            </m:oMath>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r>
                <m:rPr>
                  <m:sty m:val="p"/>
                </m:rPr>
                <m:t>&lt;</m:t>
              </m:r>
              <m:r>
                <m:t>0</m:t>
              </m:r>
            </m:oMath>
            <w:r>
              <w:t xml:space="preserve">;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(chữ S)</w:t>
            </w:r>
          </w:p>
        </w:tc>
        <w:tc>
          <w:tcPr/>
          <w:p>
            <w:pPr>
              <w:pStyle w:val="Compact"/>
              <w:jc w:val="left"/>
            </w:pPr>
            <m:oMath>
              <m:sSub>
                <m:e>
                  <m:r>
                    <m:t>β</m:t>
                  </m:r>
                </m:e>
                <m:sub>
                  <m:r>
                    <m:t>3</m:t>
                  </m:r>
                </m:sub>
              </m:sSub>
              <m:r>
                <m:rPr>
                  <m:sty m:val="p"/>
                </m:rPr>
                <m:t>&gt;</m:t>
              </m:r>
              <m:r>
                <m:t>0</m:t>
              </m:r>
            </m:oMath>
            <w:r>
              <w:t xml:space="preserve">; F-test</w:t>
            </w:r>
            <w:r>
              <w:t xml:space="preserve"> </w:t>
            </w:r>
            <m:oMath>
              <m:sSub>
                <m:e>
                  <m:r>
                    <m:t>β</m:t>
                  </m:r>
                </m:e>
                <m:sub>
                  <m:r>
                    <m:t>3</m:t>
                  </m:r>
                </m:sub>
              </m:sSub>
              <m:r>
                <m:rPr>
                  <m:sty m:val="p"/>
                </m:rPr>
                <m:t>=</m:t>
              </m:r>
              <m:r>
                <m:t>0</m:t>
              </m:r>
            </m:oMath>
          </w:p>
        </w:tc>
      </w:tr>
      <w:tr>
        <w:tc>
          <w:tcPr/>
          <w:p>
            <w:pPr>
              <w:pStyle w:val="Compact"/>
              <w:jc w:val="left"/>
            </w:pPr>
            <w:r>
              <w:t xml:space="preserve">M3</w:t>
            </w:r>
          </w:p>
        </w:tc>
        <w:tc>
          <w:tcPr/>
          <w:p>
            <w:pPr>
              <w:pStyle w:val="Compact"/>
              <w:jc w:val="left"/>
            </w:pPr>
            <w:r>
              <w:t xml:space="preserve">+ TCI,</w:t>
            </w:r>
            <w:r>
              <w:t xml:space="preserve"> </w:t>
            </w:r>
            <m:oMath>
              <m:r>
                <m:rPr>
                  <m:nor/>
                  <m:sty m:val="p"/>
                </m:rPr>
                <m:t>FSTS</m:t>
              </m:r>
              <m:r>
                <m:rPr>
                  <m:sty m:val="p"/>
                </m:rPr>
                <m:t>×</m:t>
              </m:r>
              <m:r>
                <m:rPr>
                  <m:nor/>
                  <m:sty m:val="p"/>
                </m:rPr>
                <m:t>TCI</m:t>
              </m:r>
            </m:oMath>
            <w:r>
              <w:t xml:space="preserve">,</w:t>
            </w:r>
            <w:r>
              <w:t xml:space="preserve"> </w:t>
            </w:r>
            <m:oMath>
              <m:sSup>
                <m:e>
                  <m:r>
                    <m:rPr>
                      <m:nor/>
                      <m:sty m:val="p"/>
                    </m:rPr>
                    <m:t>FSTS</m:t>
                  </m:r>
                </m:e>
                <m:sup>
                  <m:r>
                    <m:t>2</m:t>
                  </m:r>
                </m:sup>
              </m:sSup>
              <m:r>
                <m:rPr>
                  <m:sty m:val="p"/>
                </m:rPr>
                <m:t>×</m:t>
              </m:r>
              <m:r>
                <m:rPr>
                  <m:nor/>
                  <m:sty m:val="p"/>
                </m:rPr>
                <m:t>TCI</m:t>
              </m:r>
            </m:oMath>
          </w:p>
        </w:tc>
        <w:tc>
          <w:tcPr/>
          <w:p>
            <w:pPr>
              <w:pStyle w:val="Compact"/>
              <w:jc w:val="left"/>
            </w:pPr>
            <w:r>
              <w:t xml:space="preserve">H2</w:t>
            </w:r>
          </w:p>
        </w:tc>
        <w:tc>
          <w:tcPr/>
          <w:p>
            <w:pPr>
              <w:pStyle w:val="Compact"/>
              <w:jc w:val="left"/>
            </w:pPr>
            <m:oMath>
              <m:sSub>
                <m:e>
                  <m:r>
                    <m:t>β</m:t>
                  </m:r>
                </m:e>
                <m:sub>
                  <m:r>
                    <m:t>3</m:t>
                  </m:r>
                </m:sub>
              </m:sSub>
              <m:r>
                <m:rPr>
                  <m:sty m:val="p"/>
                </m:rPr>
                <m:t>&gt;</m:t>
              </m:r>
              <m:r>
                <m:t>0</m:t>
              </m:r>
            </m:oMath>
            <w:r>
              <w:t xml:space="preserve">; F-test (</w:t>
            </w:r>
            <m:oMath>
              <m:sSub>
                <m:e>
                  <m:r>
                    <m:t>β</m:t>
                  </m:r>
                </m:e>
                <m:sub>
                  <m:r>
                    <m:t>4</m:t>
                  </m:r>
                </m:sub>
              </m:sSub>
              <m:r>
                <m:rPr>
                  <m:sty m:val="p"/>
                </m:rPr>
                <m:t>=</m:t>
              </m:r>
              <m:sSub>
                <m:e>
                  <m:r>
                    <m:t>β</m:t>
                  </m:r>
                </m:e>
                <m:sub>
                  <m:r>
                    <m:t>5</m:t>
                  </m:r>
                </m:sub>
              </m:sSub>
              <m:r>
                <m:rPr>
                  <m:sty m:val="p"/>
                </m:rPr>
                <m:t>=</m:t>
              </m:r>
              <m:r>
                <m:t>0</m:t>
              </m:r>
            </m:oMath>
            <w:r>
              <w:t xml:space="preserve">)</w:t>
            </w:r>
          </w:p>
        </w:tc>
      </w:tr>
      <w:tr>
        <w:tc>
          <w:tcPr/>
          <w:p>
            <w:pPr>
              <w:pStyle w:val="Compact"/>
              <w:jc w:val="left"/>
            </w:pPr>
            <w:r>
              <w:t xml:space="preserve">M4</w:t>
            </w:r>
          </w:p>
        </w:tc>
        <w:tc>
          <w:tcPr/>
          <w:p>
            <w:pPr>
              <w:pStyle w:val="Compact"/>
              <w:jc w:val="left"/>
            </w:pPr>
            <w:r>
              <w:t xml:space="preserve">+ DAI,</w:t>
            </w:r>
            <w:r>
              <w:t xml:space="preserve"> </w:t>
            </w:r>
            <m:oMath>
              <m:r>
                <m:rPr>
                  <m:nor/>
                  <m:sty m:val="p"/>
                </m:rPr>
                <m:t>FSTS</m:t>
              </m:r>
              <m:r>
                <m:rPr>
                  <m:sty m:val="p"/>
                </m:rPr>
                <m:t>×</m:t>
              </m:r>
              <m:r>
                <m:rPr>
                  <m:nor/>
                  <m:sty m:val="p"/>
                </m:rPr>
                <m:t>DAI</m:t>
              </m:r>
            </m:oMath>
            <w:r>
              <w:t xml:space="preserve">,</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H3a/H3b</w:t>
            </w:r>
          </w:p>
        </w:tc>
        <w:tc>
          <w:tcPr/>
          <w:p>
            <w:pPr>
              <w:pStyle w:val="Compact"/>
              <w:jc w:val="left"/>
            </w:pPr>
            <w:r>
              <w:t xml:space="preserve">H3a:</w:t>
            </w:r>
            <w:r>
              <w:t xml:space="preserve"> </w:t>
            </w: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 H3b:</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 Nhóm I</w:t>
            </w:r>
          </w:p>
        </w:tc>
      </w:tr>
      <w:tr>
        <w:tc>
          <w:tcPr/>
          <w:p>
            <w:pPr>
              <w:pStyle w:val="Compact"/>
              <w:jc w:val="left"/>
            </w:pPr>
            <w:r>
              <w:t xml:space="preserve">M5</w:t>
            </w:r>
          </w:p>
        </w:tc>
        <w:tc>
          <w:tcPr/>
          <w:p>
            <w:pPr>
              <w:pStyle w:val="Compact"/>
              <w:jc w:val="left"/>
            </w:pPr>
            <w:r>
              <w:t xml:space="preserve">+ Manager,</w:t>
            </w:r>
            <w:r>
              <w:t xml:space="preserve"> </w:t>
            </w:r>
            <m:oMath>
              <m:r>
                <m:rPr>
                  <m:nor/>
                  <m:sty m:val="p"/>
                </m:rPr>
                <m:t>FSTS</m:t>
              </m:r>
              <m:r>
                <m:rPr>
                  <m:sty m:val="p"/>
                </m:rPr>
                <m:t>×</m:t>
              </m:r>
              <m:r>
                <m:rPr>
                  <m:nor/>
                  <m:sty m:val="p"/>
                </m:rPr>
                <m:t>Manager</m:t>
              </m:r>
            </m:oMath>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d>
                <m:dPr>
                  <m:begChr m:val="("/>
                  <m:endChr m:val=")"/>
                  <m:sepChr m:val=""/>
                  <m:grow/>
                </m:dPr>
                <m:e>
                  <m:r>
                    <m:rPr>
                      <m:nor/>
                      <m:sty m:val="p"/>
                    </m:rPr>
                    <m:t>FSTS</m:t>
                  </m:r>
                  <m:r>
                    <m:rPr>
                      <m:sty m:val="p"/>
                    </m:rPr>
                    <m:t>×</m:t>
                  </m:r>
                  <m:r>
                    <m:rPr>
                      <m:nor/>
                      <m:sty m:val="p"/>
                    </m:rPr>
                    <m:t>exp</m:t>
                  </m:r>
                </m:e>
              </m:d>
              <m:r>
                <m:rPr>
                  <m:sty m:val="p"/>
                </m:rPr>
                <m:t>&gt;</m:t>
              </m:r>
              <m:r>
                <m:t>0</m:t>
              </m:r>
            </m:oMath>
            <w:r>
              <w:t xml:space="preserve">; H4b:</w:t>
            </w:r>
            <w:r>
              <w:t xml:space="preserve"> </w:t>
            </w:r>
            <m:oMath>
              <m:sSub>
                <m:e>
                  <m:r>
                    <m:t>β</m:t>
                  </m:r>
                </m:e>
                <m:sub>
                  <m:r>
                    <m:t>4</m:t>
                  </m:r>
                </m:sub>
              </m:sSub>
              <m:d>
                <m:dPr>
                  <m:begChr m:val="("/>
                  <m:endChr m:val=")"/>
                  <m:sepChr m:val=""/>
                  <m:grow/>
                </m:dPr>
                <m:e>
                  <m:r>
                    <m:rPr>
                      <m:nor/>
                      <m:sty m:val="p"/>
                    </m:rPr>
                    <m:t>FSTS</m:t>
                  </m:r>
                  <m:r>
                    <m:rPr>
                      <m:sty m:val="p"/>
                    </m:rPr>
                    <m:t>×</m:t>
                  </m:r>
                  <m:r>
                    <m:rPr>
                      <m:nor/>
                      <m:sty m:val="p"/>
                    </m:rPr>
                    <m:t>educ</m:t>
                  </m:r>
                </m:e>
              </m:d>
              <m:r>
                <m:rPr>
                  <m:sty m:val="p"/>
                </m:rPr>
                <m:t>&gt;</m:t>
              </m:r>
              <m:r>
                <m:t>0</m:t>
              </m:r>
            </m:oMath>
            <w:r>
              <w:t xml:space="preserve">; H4c: hai phía</w:t>
            </w:r>
          </w:p>
        </w:tc>
      </w:tr>
      <w:tr>
        <w:tc>
          <w:tcPr/>
          <w:p>
            <w:pPr>
              <w:pStyle w:val="Compact"/>
              <w:jc w:val="left"/>
            </w:pPr>
            <w:r>
              <w:t xml:space="preserve">M6</w:t>
            </w:r>
          </w:p>
        </w:tc>
        <w:tc>
          <w:tcPr/>
          <w:p>
            <w:pPr>
              <w:pStyle w:val="Compact"/>
              <w:jc w:val="left"/>
            </w:pPr>
            <w:r>
              <w:t xml:space="preserve">+</w:t>
            </w:r>
            <w:r>
              <w:t xml:space="preserve"> </w:t>
            </w:r>
            <m:oMath>
              <m:sSub>
                <m:e>
                  <m:r>
                    <m:rPr>
                      <m:nor/>
                      <m:sty m:val="p"/>
                    </m:rPr>
                    <m:t>ICRV</m:t>
                  </m:r>
                </m:e>
                <m:sub>
                  <m:r>
                    <m:t>j</m:t>
                  </m:r>
                </m:sub>
              </m:sSub>
              <m:r>
                <m:rPr>
                  <m:sty m:val="p"/>
                </m:rPr>
                <m:t>×</m:t>
              </m:r>
              <m:r>
                <m:rPr>
                  <m:nor/>
                  <m:sty m:val="p"/>
                </m:rPr>
                <m:t>FSTS</m:t>
              </m:r>
            </m:oMath>
            <w:r>
              <w:t xml:space="preserve">,</w:t>
            </w:r>
            <w:r>
              <w:t xml:space="preserve"> </w:t>
            </w:r>
            <m:oMath>
              <m:sSub>
                <m:e>
                  <m:r>
                    <m:rPr>
                      <m:nor/>
                      <m:sty m:val="p"/>
                    </m:rPr>
                    <m:t>ICRV</m:t>
                  </m:r>
                </m:e>
                <m:sub>
                  <m:r>
                    <m:t>j</m:t>
                  </m:r>
                </m:sub>
              </m:sSub>
              <m:r>
                <m:rPr>
                  <m:sty m:val="p"/>
                </m:rPr>
                <m:t>×</m:t>
              </m:r>
              <m:sSup>
                <m:e>
                  <m:r>
                    <m:rPr>
                      <m:nor/>
                      <m:sty m:val="p"/>
                    </m:rPr>
                    <m:t>FSTS</m:t>
                  </m:r>
                </m:e>
                <m:sup>
                  <m:r>
                    <m:t>2</m:t>
                  </m:r>
                </m:sup>
              </m:sSup>
            </m:oMath>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w:t>
            </w:r>
            <w:r>
              <w:t xml:space="preserve"> </w:t>
            </w:r>
            <m:oMath>
              <m:r>
                <m:rPr>
                  <m:nor/>
                  <m:sty m:val="p"/>
                </m:rPr>
                <m:t>TCI</m:t>
              </m:r>
              <m:r>
                <m:rPr>
                  <m:sty m:val="p"/>
                </m:rPr>
                <m:t>×</m:t>
              </m:r>
              <m:r>
                <m:rPr>
                  <m:nor/>
                  <m:sty m:val="p"/>
                </m:rPr>
                <m:t>DAI</m:t>
              </m:r>
              <m:r>
                <m:rPr>
                  <m:sty m:val="p"/>
                </m:rPr>
                <m:t>×</m:t>
              </m:r>
              <m:r>
                <m:rPr>
                  <m:nor/>
                  <m:sty m:val="p"/>
                </m:rPr>
                <m:t>FSTS</m:t>
              </m:r>
            </m:oMath>
            <w:r>
              <w:t xml:space="preserve">,</w:t>
            </w:r>
            <w:r>
              <w:t xml:space="preserve"> </w:t>
            </w:r>
            <m:oMath>
              <m:r>
                <m:rPr>
                  <m:nor/>
                  <m:sty m:val="p"/>
                </m:rPr>
                <m:t>Year_bucket</m:t>
              </m:r>
              <m:r>
                <m:rPr>
                  <m:sty m:val="p"/>
                </m:rPr>
                <m:t>×</m:t>
              </m:r>
              <m:r>
                <m:rPr>
                  <m:nor/>
                  <m:sty m:val="p"/>
                </m:rPr>
                <m:t>FSTS</m:t>
              </m:r>
            </m:oMath>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2009–2026;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18.957</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mô hình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(Bậc 1+2): z-mean(c22b + k33 + k38), chỉ có trong lược đồ BEE (2019 trở đi).</w:t>
      </w:r>
      <w:r>
        <w:t xml:space="preserve"> </w:t>
      </w:r>
      <w:r>
        <w:t xml:space="preserve">DAI_z_tier1 (Bậc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Bậc 1 only (c22b) xuyên tất cả schema</w:t>
            </w:r>
          </w:p>
        </w:tc>
        <w:tc>
          <w:tcPr/>
          <w:p>
            <w:pPr>
              <w:pStyle w:val="Compact"/>
              <w:jc w:val="left"/>
            </w:pPr>
            <w:r>
              <w:t xml:space="preserve">Dấu hệ số giữ nguyên; độ lớn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mô hình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4" w:name="Xa7a3e024942ac139f282b38617464477c22cff4"/>
    <w:p>
      <w:pPr>
        <w:pStyle w:val="Heading4"/>
      </w:pPr>
      <w:r>
        <w:t xml:space="preserve">2.3.8 Thảo luận: đóng góp lý thuyết và thực tiễn</w:t>
      </w:r>
    </w:p>
    <w:bookmarkStart w:id="80" w:name="khung-đánh-giá-đóng-góp"/>
    <w:p>
      <w:pPr>
        <w:pStyle w:val="Heading5"/>
      </w:pPr>
      <w:r>
        <w:t xml:space="preserve">Khung đánh giá đóng góp</w:t>
      </w:r>
    </w:p>
    <w:p>
      <w:pPr>
        <w:pStyle w:val="FirstParagraph"/>
      </w:pPr>
      <w:r>
        <w:t xml:space="preserve">Tám đóng góp dưới đây được định vị theo hai tiêu chí chuẩn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w:t>
      </w:r>
      <w:r>
        <w:t xml:space="preserve"> </w:t>
      </w:r>
      <w:r>
        <w:rPr>
          <w:bCs/>
          <w:b/>
        </w:rPr>
        <w:t xml:space="preserve">“</w:t>
      </w:r>
      <w:r>
        <w:rPr>
          <w:bCs/>
          <w:b/>
        </w:rPr>
        <w:t xml:space="preserve">cái gì – như thế nào – vì sao bây giờ</w:t>
      </w:r>
      <w:r>
        <w:rPr>
          <w:bCs/>
          <w:b/>
        </w:rPr>
        <w:t xml:space="preserve">”</w:t>
      </w:r>
      <w:r>
        <w:t xml:space="preserve"> </w:t>
      </w:r>
      <w:r>
        <w:t xml:space="preserve">(Whetten, 1989). Cần phân biệt rõ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việc tái xác nhận chữ U ngược ở từng bối cảnh đơn lẻ tự nó là nhân rộng có giá trị xác nhận, còn đóng góp nằm ở việc</w:t>
      </w:r>
      <w:r>
        <w:t xml:space="preserve"> </w:t>
      </w:r>
      <w:r>
        <w:rPr>
          <w:iCs/>
          <w:i/>
        </w:rPr>
        <w:t xml:space="preserve">cấu trúc hóa</w:t>
      </w:r>
      <w:r>
        <w:t xml:space="preserve"> </w:t>
      </w:r>
      <w:r>
        <w:t xml:space="preserve">sự biến thiên xuyên bối cảnh của dạng hàm thành một quy luật kiểm định được. Vì chuyên đề này là chuyên đề</w:t>
      </w:r>
      <w:r>
        <w:t xml:space="preserve"> </w:t>
      </w:r>
      <w:r>
        <w:rPr>
          <w:bCs/>
          <w:b/>
        </w:rPr>
        <w:t xml:space="preserve">xây dựng mô hình</w:t>
      </w:r>
      <w:r>
        <w:t xml:space="preserve">, mỗi đóng góp được phát biểu dưới dạng</w:t>
      </w:r>
      <w:r>
        <w:t xml:space="preserve"> </w:t>
      </w:r>
      <w:r>
        <w:rPr>
          <w:bCs/>
          <w:b/>
        </w:rPr>
        <w:t xml:space="preserve">mệnh đề có thể bác bỏ</w:t>
      </w:r>
      <w:r>
        <w:t xml:space="preserve"> </w:t>
      </w:r>
      <w:r>
        <w:t xml:space="preserve">kèm</w:t>
      </w:r>
      <w:r>
        <w:t xml:space="preserve"> </w:t>
      </w:r>
      <w:r>
        <w:rPr>
          <w:bCs/>
          <w:b/>
        </w:rPr>
        <w:t xml:space="preserve">điều kiện phạm vi</w:t>
      </w:r>
      <w:r>
        <w:t xml:space="preserve"> </w:t>
      </w:r>
      <w:r>
        <w:t xml:space="preserve">tường minh, để khung CDCM–ICRV–FIP có thể sai nếu dữ liệu không khớp — đặc điểm phân biệt một mô hình lý thuyết với một mô tả hậu nghiệm.</w:t>
      </w:r>
    </w:p>
    <w:bookmarkEnd w:id="80"/>
    <w:bookmarkStart w:id="81"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gánh nặng bắt buộc (forced penalty) ở SIDS (Nhóm VI) được tích hợp vào H5/H1b như trường hợp cực đoan của phổ thể chế, SIDS không có chữ U ngược điển hình do quốc tế hóa bắt buộc (Briguglio, 1995). Phát hiện vững của nghiên cứu chuyên sâu SIDS (P8, trên</w:t>
      </w:r>
      <w:r>
        <w:t xml:space="preserve"> </w:t>
      </w:r>
      <w:r>
        <w:rPr>
          <w:bCs/>
          <w:b/>
        </w:rPr>
        <w:t xml:space="preserve">mẫu đầy đủ bảy cụm Thái Bình Dương</w:t>
      </w:r>
      <w:r>
        <w:t xml:space="preserve">) là</w:t>
      </w:r>
      <w:r>
        <w:t xml:space="preserve"> </w:t>
      </w:r>
      <w:r>
        <w:rPr>
          <w:bCs/>
          <w:b/>
        </w:rPr>
        <w:t xml:space="preserve">việc dạng chữ U ngược mất cấu trúc</w:t>
      </w:r>
      <w:r>
        <w:t xml:space="preserve">: độ dốc tuyến tính (−0,085; p_wild = 0,66) không có ý nghĩa và độ cong (+0,696; p_wild = 0,082) chỉ đạt mức biên. Hệ số âm mạnh đặc trưng cho FIP (β = −1,339) chỉ xuất hiện trên một bản dựng dữ liệu hạn chế ba cụm, mang tính</w:t>
      </w:r>
      <w:r>
        <w:t xml:space="preserve"> </w:t>
      </w:r>
      <w:r>
        <w:rPr>
          <w:bCs/>
          <w:b/>
        </w:rPr>
        <w:t xml:space="preserve">minh họa và nhạy cảm với phiên bản dữ liệu</w:t>
      </w:r>
      <w:r>
        <w:t xml:space="preserve">; do đó FIP được phát biểu chủ yếu như một</w:t>
      </w:r>
      <w:r>
        <w:t xml:space="preserve"> </w:t>
      </w:r>
      <w:r>
        <w:rPr>
          <w:bCs/>
          <w:b/>
        </w:rPr>
        <w:t xml:space="preserve">đóng góp khái niệm</w:t>
      </w:r>
      <w:r>
        <w:t xml:space="preserve"> </w:t>
      </w:r>
      <w:r>
        <w:t xml:space="preserve">(điều kiện biên cực trị) chứ không phải một ước lượng điểm chắc chắn. Tích hợp này mở rộng tài liệu quốc tế hóa và hiệu quả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103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khám phá;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Bậc 1–2 (website và e-payment) do hạn chế lược đồ WBES. Không thể kết luận về vai trò của năng lực số Bậc 3–4, tích hợp ERP, triển khai AI, quản trị dữ liệu xuyên biên giới, đối với mối quan hệ quốc tế hóa và hiệu quả. Kết luận H3 chỉ hợp lệ trong ranh giới đo lường Bậc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Bậc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(2009), hồi quy phân tích tổng hợp theo hiệu ứng ngẫu nhiên. Về mở rộng bậc số hóa: Verhoef et al. (2021), phân cấp Bậc 1–4. Về mở rộng quốc tế hóa đa chiều: Contractor et al. (2003); Sullivan (1994) về DOI chỉ số hợp thành.</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mục tiêu JWB):</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IBR):</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(mục tiêu World Development):</w:t>
      </w:r>
      <w:r>
        <w:t xml:space="preserve"> </w:t>
      </w:r>
      <w:r>
        <w:t xml:space="preserve">P8 đã hoàn thành,</w:t>
      </w:r>
      <w:r>
        <w:t xml:space="preserve"> </w:t>
      </w:r>
      <w:r>
        <w:rPr>
          <w:bCs/>
          <w:b/>
        </w:rPr>
        <w:t xml:space="preserve">mẫu chính 7 nền Pacific SIDS (mẫu gộp N = 1.450; 212 cơ sở có xuất khẩu, 14,6%), β(FSTS_c) = −1,339</w:t>
      </w:r>
      <w:r>
        <w:t xml:space="preserve"> </w:t>
      </w:r>
      <w:r>
        <w:t xml:space="preserve">(bản dựng ba cụm, minh họa);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Bậc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Bậc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chưa nộp].</w:t>
      </w:r>
      <w:r>
        <w:t xml:space="preserve"> </w:t>
      </w:r>
      <w:r>
        <w:rPr>
          <w:iCs/>
          <w:i/>
        </w:rPr>
        <w:t xml:space="preserve">Journal of Economics and Development</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chưa nộp].</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chưa nộp].</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1"/>
    <w:bookmarkStart w:id="96" w:name="phụ-lục"/>
    <w:p>
      <w:pPr>
        <w:pStyle w:val="Heading2"/>
      </w:pPr>
      <w:r>
        <w:t xml:space="preserve">PHỤ LỤC</w:t>
      </w:r>
    </w:p>
    <w:bookmarkStart w:id="92"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(mục tiêu JED):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(mục tiêu MIR):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(mục tiêu IJOEM):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0767bc25b897159fdd5c7aaa38e034a3c88d362"/>
    <w:p>
      <w:pPr>
        <w:pStyle w:val="Heading3"/>
      </w:pPr>
      <w:r>
        <w:t xml:space="preserve">Phụ lục D: Thiết lập Stata: Sai số chuẩn cluster</w:t>
      </w:r>
    </w:p>
    <w:p>
      <w:pPr>
        <w:pStyle w:val="FirstParagraph"/>
      </w:pPr>
      <w:r>
        <w:t xml:space="preserve">Toàn bộ pipeline phân tích sử dụng Stata 18. Mô hình chuẩn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(khám phá, hai phía,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p>
      <w:r>
        <w:br w:type="page"/>
      </w:r>
    </w:p>
    <w:bookmarkEnd w:id="95"/>
    <w:bookmarkEnd w:id="9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2026-06-26T11:02:37Z</dcterms:created>
  <dcterms:modified xsi:type="dcterms:W3CDTF">2026-06-26T11:02:37Z</dcterms:modified>
</cp:coreProperties>
</file>

<file path=docProps/custom.xml><?xml version="1.0" encoding="utf-8"?>
<Properties xmlns="http://schemas.openxmlformats.org/officeDocument/2006/custom-properties" xmlns:vt="http://schemas.openxmlformats.org/officeDocument/2006/docPropsVTypes"/>
</file>