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Asia Pacific Journal of Management (APJM), Springer</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an</w:t>
      </w:r>
      <w:r>
        <w:t xml:space="preserve"> </w:t>
      </w:r>
      <w:r>
        <w:rPr>
          <w:iCs/>
          <w:i/>
        </w:rPr>
        <w:t xml:space="preserve">Export Cliff Effect</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CaptionedFigure"/>
      </w:pPr>
      <w:r>
        <w:drawing>
          <wp:inline>
            <wp:extent cx="5753100" cy="2401293"/>
            <wp:effectExtent b="0" l="0" r="0" t="0"/>
            <wp:docPr descr="Figure 3: Moderator marginal effects,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Singapore study, where the deeper Tier-1+2 construct amplifies the productivity return at high export intensity, indicates that foundational digital adoption is a context-dependent resource gated by a depth threshold: only past the shift from digitising information to integrating digital into processes does it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2026-05-27T11:48:22Z</dcterms:created>
  <dcterms:modified xsi:type="dcterms:W3CDTF">2026-05-27T11:48:22Z</dcterms:modified>
</cp:coreProperties>
</file>

<file path=docProps/custom.xml><?xml version="1.0" encoding="utf-8"?>
<Properties xmlns="http://schemas.openxmlformats.org/officeDocument/2006/custom-properties" xmlns:vt="http://schemas.openxmlformats.org/officeDocument/2006/docPropsVTypes"/>
</file>