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Following PRISMA 2020, a systematic Web of Science and Scopus search (1977–2026) yields k = 238 studies and K = 288 effect sizes from 49 economies; three-level MARA decomposes within- and between-study heterogeneity using metafor, with OSF pre-registration and inter-coder reliability κ ≥ 0.70. The baseline pooled effect is r = 0.074 (95% CI [0.060, 0.088], p &lt; .001; I² = 62.4%). The hypothesized moderators show limited support: ICRV regime differences are significant (Q_M = 17.35, df = 4, p = .002) but reflect single- versus multi-country study composition rather than a monotone institutional gradient, while cDAI and DPL moderation are non-significant. The headline result is substantial publication bias: trim-and-fill imputes k = 58 missing studies, cutting the pooled effect to r = 0.035 (95% CI [0.023, 0.048]), an implied ~53% attenuation (Begg p &lt; .001; Egger p = .057).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not a universal mechanism,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country of origin, industry, performance measure type, leave approximately 70% of variance unexplained.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taxonomy. The global study corpus spans the full institutional spectrum,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headline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an implied ~53% attenuation. Read as a corrective contribution to the field, this indicates that four decades of I-P evidence may be materially inflated by publication selection. The inference is a bias-correction estimate corroborated by a significant Begg test (τ =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including human capital, technological capability, and digital infrastructure access,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measured through rule of law, contract enforcement, IP protection, and regulatory quality,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real-time digital communication across time zones reduces the bandwidth cost of coordinating dispersed operations; (b)</w:t>
      </w:r>
      <w:r>
        <w:t xml:space="preserve"> </w:t>
      </w:r>
      <w:r>
        <w:rPr>
          <w:iCs/>
          <w:i/>
        </w:rPr>
        <w:t xml:space="preserve">transaction cost reduction</w:t>
      </w:r>
      <w:r>
        <w:t xml:space="preserve">, electronic payment systems and digital contracting reduce the cost and time of cross-border transactions; (c)</w:t>
      </w:r>
      <w:r>
        <w:t xml:space="preserve"> </w:t>
      </w:r>
      <w:r>
        <w:rPr>
          <w:iCs/>
          <w:i/>
        </w:rPr>
        <w:t xml:space="preserve">information asymmetry compression</w:t>
      </w:r>
      <w:r>
        <w:t xml:space="preserve">, digital analytics platforms reduce the monitoring cost of verifying foreign partner performance. When national digital infrastructure is mature (high cDAI), all three channels operate simultaneously, predicting that the coordination cost mechanism, which generates the right-side decline of the inverted-U,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the layers most widely measured in firm-level surveys,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a between-study moderation claim, not a within-study mediation claim.</w:t>
      </w:r>
    </w:p>
    <w:bookmarkEnd w:id="22"/>
    <w:bookmarkStart w:id="23" w:name="X772aae5f967000260143b5df2cce415e62452ba"/>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the costs incurred by foreign firms that domestic rivals do not bear,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environments where formal institutions are weak or absent,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anchored in World Bank World Governance Indicators (Rule of Law dimension, 2023 vintage) and applied to the full k = 238 global study corpus,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ICRV between-regime heterogeneity):</w:t>
      </w:r>
      <w:r>
        <w:t xml:space="preserve"> </w:t>
      </w:r>
      <w:r>
        <w:t xml:space="preserve">Pooled I-P effect sizes vary systematically across ICRV institutional regimes, with Advanced-regime studies expected to show the largest average effects, because formal institutions, contract enforcement, IP protection, and reduced liability of foreignness,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potentially null or negative,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in organizational practices, worker skills, and infrastructure,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including cloud-based logistics, B2B e-commerce, electronic payment systems, and digital trade finance,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home to 52% of the k = 238 corpus, was a primary site of this diffusion.</w:t>
      </w:r>
    </w:p>
    <w:p>
      <w:pPr>
        <w:pStyle w:val="BodyText"/>
      </w:pPr>
      <w:r>
        <w:rPr>
          <w:bCs/>
          <w:b/>
        </w:rPr>
        <w:t xml:space="preserve">Hypothesis 2 (H2,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hypothesised between-regime Q_M statistically significant; H1 confirmed (Q_M = 17.35, p = .002); directional Exploratory Propositions E1a (Advanced largest) and E1b (Frontier smallest) not meta-analytically confirmable with sparse regime cells. (2) cDAI, Country Digital Adoption Index (H3), hypothesised positive amplification [High &gt; Low]; actual Q_M = 1.23 (p = .541), H3 not supported. (3) DPL Phase (H2),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 https://osf.io/z37kn (DOI: 10.17605/OSF.IO/Z37KN; registered May 18, 2026).</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capital structure, location strategy, antecedent/determinant language; STRONG_INCL,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India textile Born Globals I-P M-curve; S0240, SME internationalization speed → firm performance with organizational learning mediator; S0683,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Frontier/LDC (WGI ≤ −0.50;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 ≥ 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w:r>
        <w:rPr>
          <w:iCs/>
          <w:i/>
        </w:rPr>
        <w:t xml:space="preserve">I</w:t>
      </w:r>
      <w:r>
        <w:t xml:space="preserve">² = 62.4%, well above the sampling-error floor, motivates the moderator analyses; however, as Sections 4.3–4.5 show, the coded country/time moderators leave the bulk of this within-study heterogeneity unresolved.</w:t>
      </w:r>
    </w:p>
    <w:bookmarkEnd w:id="44"/>
    <w:bookmarkStart w:id="48" w:name="icrv-regime-moderation-h1"/>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from the most globally comprehensive three-level MARA of I-P to date,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where positive effects are over-represented,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effect-size operationalization, sample windows, controls,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for instance, from vintage mismatch between the study’s data period and the DAI score’s reference year,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with explicit power analysis for each regime cell and OSF pre-registration,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internationalization-to-performance)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Sections 3–4 expansion with confirmed metafor output once formal effect-size extraction from p6_study_database_coded.md is complete using the standardized coding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2026-05-27T11:48:52Z</dcterms:created>
  <dcterms:modified xsi:type="dcterms:W3CDTF">2026-05-27T11:48:52Z</dcterms:modified>
</cp:coreProperties>
</file>

<file path=docProps/custom.xml><?xml version="1.0" encoding="utf-8"?>
<Properties xmlns="http://schemas.openxmlformats.org/officeDocument/2006/custom-properties" xmlns:vt="http://schemas.openxmlformats.org/officeDocument/2006/docPropsVTypes"/>
</file>