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403fd954d28f4f635f4ec585f1995edb070610"/>
    <w:p>
      <w:pPr>
        <w:pStyle w:val="Heading1"/>
      </w:pPr>
      <w:r>
        <w:t xml:space="preserve">Quốc Tế Hóa Sinh Lợi ở Đâu: Chế Độ Thể Chế và Năng Lực Số như Những Nhân Tố Đồng Xác Định Điểm Tối Ưu Hiệu Quả trên 45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w:t>
      </w:r>
      <w:r>
        <w:t xml:space="preserve"> </w:t>
      </w:r>
      <w:r>
        <w:rPr>
          <w:iCs/>
          <w:i/>
        </w:rPr>
        <w:t xml:space="preserve">độ lõm</w:t>
      </w:r>
      <w:r>
        <w:t xml:space="preserve"> </w:t>
      </w:r>
      <w:r>
        <w:t xml:space="preserve">của nó được</w:t>
      </w:r>
      <w:r>
        <w:t xml:space="preserve"> </w:t>
      </w:r>
      <w:r>
        <w:rPr>
          <w:iCs/>
          <w:i/>
        </w:rPr>
        <w:t xml:space="preserve">điều kiện hóa một cách đồng thời</w:t>
      </w:r>
      <w:r>
        <w:t xml:space="preserve"> </w:t>
      </w:r>
      <w:r>
        <w:t xml:space="preserve">bởi chế độ thể chế nơi doanh nghiệp hoạt động và bởi năng lực số của chính doanh nghiệp — chế độ thể chế chi phối</w:t>
      </w:r>
      <w:r>
        <w:t xml:space="preserve"> </w:t>
      </w:r>
      <w:r>
        <w:rPr>
          <w:iCs/>
          <w:i/>
        </w:rPr>
        <w:t xml:space="preserve">độ lõm</w:t>
      </w:r>
      <w:r>
        <w:t xml:space="preserve"> </w:t>
      </w:r>
      <w:r>
        <w:t xml:space="preserve">của đường cong còn năng lực số tái tạo nó;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98.658 quan sát doanh nghiệp (mẫu ước lượng cơ sở N = 82.302 sau khi áp dụng yêu cầu không thiếu về năng suất và cường độ xuất khẩu; 28.500 ở mô hình đầy đủ) tại 45 nền kinh tế và 98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37% doanh số từ xuất khẩu (kiểm định Lind–Mehlum p &lt; ,001; được xác nhận trong M11 với TP = 25,7%, p = ,026). Chế độ thể chế tái định vị có hệ thống điểm tối ưu này: độ lõm của hình chữ U ngược sâu hơn khi chất lượng thể chế suy giảm, do đó hình phạt hiệu quả đối với quốc tế hóa quá mức là gay gắt nhất ở các chế độ tiên phong và dễ tổn thương, và phẳng nhất ở các chế độ tiên tiến.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,049),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45 nền kinh tế châu Á và Thái Bình Dương với điểm ngưỡng khoảng 37%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45 nền kinh tế.</w:t>
      </w:r>
    </w:p>
    <w:p>
      <w:pPr>
        <w:numPr>
          <w:ilvl w:val="0"/>
          <w:numId w:val="1001"/>
        </w:numPr>
        <w:pStyle w:val="Compact"/>
      </w:pPr>
      <w:r>
        <w:t xml:space="preserve">ICRV điều tiết cả độ dốc lẫn độ cong I–P; tương tác DAI×ICRV (p = ,049) cho thấy DAI mang lại lợi nhuận mạnh hơn ở môi trường thể chế yếu hơn.</w:t>
      </w:r>
    </w:p>
    <w:p>
      <w:pPr>
        <w:numPr>
          <w:ilvl w:val="0"/>
          <w:numId w:val="1001"/>
        </w:numPr>
        <w:pStyle w:val="Compact"/>
      </w:pPr>
      <w:r>
        <w:t xml:space="preserve">Độ lõm của hình chữ U ngược sâu hơn khi thể chế suy yếu; các điểm ngưỡng TP ước tính theo nhóm tụ quanh mức ~40% thay vì dịch chuyển đơn điệu.</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98.658 quan sát doanh nghiệp từ 45 nền kinh tế châu Á và Thái Bình Dương giai đoạn 2003–2025, được chuẩn hóa từ WBES; sau khi áp dụng yêu cầu không thiếu về năng suất và cường độ xuất khẩu, mẫu ước lượng cơ sở là 82.302 quan sát doanh nghiệp (giảm còn 28.500 ở mô hình đầy đủ M11). Mẫu bao trùm cả sáu nhóm chế độ ICRV — từ các nền kinh tế tiên tiến dựa trên đổi mới sáng tạo (Singapore, Hàn Quốc, Đài Loan, Hồng Kông, Israel)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độ cong của nó lại nội sinh với chế độ thể chế, sâu hơn khi chất lượng thể chế suy giảm (được xác nhận qua các đặc tả ở N = 82.302–28.500; M11: TP = 25,7%, kiểm định Lind–Mehlum p = ,026).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,049),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w:t>
      </w:r>
      <w:r>
        <w:t xml:space="preserve"> </w:t>
      </w:r>
      <w:r>
        <w:rPr>
          <w:iCs/>
          <w:i/>
        </w:rPr>
        <w:t xml:space="preserve">dạng thức và điểm tối ưu</w:t>
      </w:r>
      <w:r>
        <w:t xml:space="preserve"> </w:t>
      </w:r>
      <w:r>
        <w:t xml:space="preserve">của nó lại được</w:t>
      </w:r>
      <w:r>
        <w:t xml:space="preserve"> </w:t>
      </w:r>
      <w:r>
        <w:rPr>
          <w:iCs/>
          <w:i/>
        </w:rPr>
        <w:t xml:space="preserve">điều kiện hóa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Tổng thể suy luận của WBES gồm các doanh nghiệp chính thức phi nông nghiệp, phi khai khoáng có từ năm lao động trở lên (ISIC Rev. 3.1/4: chế tạo, xây dựng, bán lẻ và các dịch vụ khác), được phân tầng theo ngành, quy mô doanh nghiệp (nhỏ 5–19, vừa 20–99, lớn 100+ lao động) và vị trí dưới cấp quốc gia; cỡ mẫu được thiết lập để đạt độ chính xác 7,5% ở mức tin cậy 90% (tối thiểu 120 doanh nghiệp mỗi tầng), và trọng số thiết kế được áp dụng cho các ước lượng đại diện cho tổng thể (World Bank, 2022). Chúng tôi sử dụng vi dữ liệu từ 45 nền kinh tế châu Á và Thái Bình Dương qua 98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(Bahrain, Iraq, Israel, Jordan, Kuwait, Lebanon, Qatar, Saudi Arabia, Yemen) và Thái Bình Dương/SIDS (Fiji, Kiribati, Papua New Guinea, Samoa, Quần đảo Solomon, Tonga, Vanuatu).</w:t>
      </w:r>
    </w:p>
    <w:p>
      <w:pPr>
        <w:pStyle w:val="BodyText"/>
      </w:pPr>
      <w:r>
        <w:t xml:space="preserve">Bộ dữ liệu phân tích cuối cùng chứa 98.658 quan sát doanh nghiệp (trước khi áp dụng yêu cầu kết quả và FSTS không thiếu); khi áp dụng các yêu cầu này, mẫu ước lượng cơ sở M2 là 82.302 quan sát doanh nghiệp, giảm còn 28.500 ở M11 khi thêm các biến kiểm soát năng lực số và nhà quản trị. Chúng tôi áp dụng định nghĩa châu Á theo địa lý dựa trên chuẩn M49 của Cục Thống kê Liên Hợp Quốc (United Nations Statistics Division, 2024), theo đó châu Á bao gồm các tiểu vùng Đông, Đông Nam, Nam, Trung và Tây Á; Thái Bình Dương được bổ sung vì khung nghiên cứu được xác định rõ là châu Á–Thái Bình Dương. Để giữ khung địa lý này nhất quán nội bộ, chúng tôi loại các nền kinh tế nằm vắt ngang ranh giới Âu–Á và thường được xem là liên lục địa: Thổ Nhĩ Kỳ (Türkiye) và Cyprus, cùng ba nền kinh tế Nam Kavkaz (Armenia, Azerbaijan, Georgia) — tất cả đều được Ngân hàng Thế giới xếp về mặt vận hành vào vùng Châu Âu và Trung Á chứ không phải châu Á (World Bank, 2025). Comoros (châu Phi hạ Sahara) cũng bị loại tương tự. Trung Á cùng Vùng Vịnh và Levant thuộc Tây Á được giữ lại như những phần không tranh cãi của lục địa châu Á. (Một đặc tả UN-M49 nghiêm ngặt tái bao gồm Thổ Nhĩ Kỳ và Azerbaijan đã được kiểm tra và không nhận diện được hình chữ U ngược, củng cố cho việc loại các nền kinh tế liên lục địa.)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82.302. Thêm biến kiểm soát giảm mẫu xuống N = 36.772 (M3); mô hình FE quốc gia-năm M5 sử dụng cùng mẫu. Các mô hình điều tiết TCI (M6, M7) sử dụng N ≈ 36.481; thêm DAI (M8) N ≈ 36.372; mô hình nhà quản lý (M9) N ≈ 34.228; điều tiết ICRV (M10) N ≈ 30.360; ba chiều đầy đủ (M11) N ≈ 28.500.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4"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45 nền kinh tế và 98 đợt khảo sát quốc gia-năm. FSTS trung bình qua các doanh nghiệp là khoảng 10% (trung vị ≈ 0), phản ánh thực tế rằng hầu hết các doanh nghiệp WBES định hướng nội địa; các doanh nghiệp xuất khẩu (FSTS &gt; 0) chiếm khoảng 18% mẫu. Năng suất lao động dao động từ ln(LP) ≈ 9 (Kiribati, Timor-Leste) đến ln(LP) ≈ 20 (Việt Nam, Hàn Quốc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+1,211 (p &lt; ,001) và β₂ = −1,630 (p &lt; ,001), nhất quán với hình chữ U ngược. Theo Haans, Pieters và He (2016), cả bốn điều kiện chính thức cho hình chữ U ngược thực sự đều thỏa mãn trong M2: (C1) β₁ = +1,211 (p &lt; ,001), xác nhận nhánh lên dương tính; (C2) β₂ = −1,630 (p &lt; ,001), xác nhận độ lõm; (C3) điểm ngưỡng TP* ≈ 37,1% nằm trong phạm vi quan sát FSTS [0%, 100%]; và (C4) hiệu ứng biên của quốc tế hóa là dương tính tại ranh giới dữ liệu thấp hơn (FSTS ≈ 0%, độ dốc ≈ +1,21) và âm tính tại ranh giới trên (FSTS ≈ 100%, độ dốc ≈ −2,05), với các dấu ngược chiều được xác nhận bởi kiểm định u Lind–Mehlum (2010) (p chung &lt; ,001). Hình chữ U ngược vẫn có ý nghĩa khi thêm biến kiểm soát (M3: TP = 34,1%, LM p &lt; ,001) và khi FE quốc gia-năm hấp thụ toàn bộ không đồng nhất quốc gia không quan sát được biến thiên theo thời gian (M5: TP = 39,5%, LM p &lt; ,001, adjR² = ,671). Sự nhất quán của điểm ngưỡng qua M2, M3 và M5 — dao động từ 34,1% đến 39,5%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25,7%, LM p = ,026),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45 nền kinh tế châu Á và Thái Bình Dương, với điểm ngưỡng khoảng 37%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+0,342, p &lt; ,001) nâng adjR² từ ,017 lên ,027. Mô hình tương tác M7 thêm FSTS×TCI và FSTS²×TCI. Kết quả cho thấy:</w:t>
      </w:r>
    </w:p>
    <w:p>
      <w:pPr>
        <w:numPr>
          <w:ilvl w:val="0"/>
          <w:numId w:val="1002"/>
        </w:numPr>
        <w:pStyle w:val="Compact"/>
      </w:pPr>
      <w:r>
        <w:t xml:space="preserve">Tác động chính TCI: β = +0,372 (p &lt; ,001) — TCI cao hơn nâng cao hiệu quả cơ sở</w:t>
      </w:r>
    </w:p>
    <w:p>
      <w:pPr>
        <w:numPr>
          <w:ilvl w:val="0"/>
          <w:numId w:val="1002"/>
        </w:numPr>
        <w:pStyle w:val="Compact"/>
      </w:pPr>
      <w:r>
        <w:t xml:space="preserve">FSTS×TCI: β = −0,090 (NS) — tương tác nhánh lên không có ý nghĩa thống kê</w:t>
      </w:r>
    </w:p>
    <w:p>
      <w:pPr>
        <w:numPr>
          <w:ilvl w:val="0"/>
          <w:numId w:val="1002"/>
        </w:numPr>
        <w:pStyle w:val="Compact"/>
      </w:pPr>
      <w:r>
        <w:t xml:space="preserve">FSTS²×TCI: β = −0,227 (NS trong M7; vẫn NS trong M8, p = ,077)</w:t>
      </w:r>
    </w:p>
    <w:p>
      <w:pPr>
        <w:pStyle w:val="FirstParagraph"/>
      </w:pPr>
      <w:r>
        <w:t xml:space="preserve">Kiểm định F chung cho hai số hạng tương tác TCI không có ý nghĩa thống kê qua M7–M9. Hình chữ U ngược vẫn được xác nhận trong M7 (TP = 34,2%, LM p &lt; ,001). Tăng một độ lệch chuẩn TCI nâng năng suất lao động lên exp(0,372) − 1 ≈ 45%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45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+0,172, p &lt; ,001), nhất quán với phần bù hiệu quả khoảng 19% cho các doanh nghiệp hoạt động số (exp(0,172) − 1 ≈ 19%). Đáng chú ý là cả hai số hạng tương tác DAI đều có ý nghĩa thống kê trong M8: FSTS×DAI = −0,588 (p &lt; ,001,</w:t>
      </w:r>
      <w:r>
        <w:t xml:space="preserve"> </w:t>
      </w:r>
      <w:r>
        <w:rPr>
          <w:bCs/>
          <w:b/>
          <w:iCs/>
          <w:i/>
        </w:rPr>
        <w:t xml:space="preserve">) và FSTS²×DAI = +0,726 (p = ,002,</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−0,786 (p &lt; ,001,</w:t>
      </w:r>
      <w:r>
        <w:rPr>
          <w:iCs/>
          <w:i/>
        </w:rPr>
        <w:t xml:space="preserve"> </w:t>
      </w:r>
      <w:r>
        <w:rPr>
          <w:bCs/>
          <w:b/>
        </w:rPr>
        <w:t xml:space="preserve">) và FSTS²×DAI = +0,982 (p &lt; ,001,</w:t>
      </w:r>
      <w:r>
        <w:rPr>
          <w:bCs/>
          <w:b/>
        </w:rPr>
        <w:t xml:space="preserve"> </w:t>
      </w:r>
      <w:r>
        <w:t xml:space="preserve">*). Hình chữ U ngược được duy trì trong cả hai đặc tả (M8: TP = 34,2%; M9: TP = 32,2%).</w:t>
      </w:r>
    </w:p>
    <w:p>
      <w:pPr>
        <w:pStyle w:val="BodyText"/>
      </w:pPr>
      <w:r>
        <w:rPr>
          <w:bCs/>
          <w:b/>
        </w:rPr>
        <w:t xml:space="preserve">H3 được ủng hộ.</w:t>
      </w:r>
      <w:r>
        <w:t xml:space="preserve"> </w:t>
      </w:r>
      <w:r>
        <w:t xml:space="preserve">DAI nâng cao hiệu quả doanh nghiệp khoảng 19%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+0,018, p &lt; ,001) và nhà quản lý nữ cấp cao (β = +0,202, p &lt; ,001) đều nâng cao hiệu quả doanh nghiệp độc lập với FSTS trong M9. Hiệu ứng kinh nghiệm ngụ ý khoảng 2% năng suất lao động cao hơn trên mỗi năm kinh nghiệm ngành bổ sung; hiệu ứng nhà quản lý nữ cấp cao ngụ ý khoảng 22% phần bù hiệu quả (exp(0,202) − 1 ≈ 22%). Tương tác FSTS×kinh_nghiệm_nhà_quản_lý không có ý nghĩa thống kê trong cả M9 (β = +0,005, p = ,29) lẫn M11 (β = +0,007, p = ,26), cho thấy kinh nghiệm nhà quản lý vận hành như một nhân tố dịch chuyển mức độ chứ không phải nhân tố điều tiết đường cong I–P.</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vắng mặt trong cả M9 lẫn M11; đặc điểm nhà quản lý dịch chuyển mức hiệu quả mà không tái tạo đường cong I–P.</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+0,592, p &lt; ,001) cho thấy — khi kiểm soát TCI, DAI và đặc điểm doanh nghiệp — mỗi bậc tiến lên thang đo ICRV (từ Nhóm I đến Nhóm VI, tức từ thể chế mạnh hơn đến yếu hơn) tương quan với mức năng suất lao động cao hơn khoảng 81% (exp(0,592) − 1 ≈ 81%).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+1,849, p &lt; ,001) và FSTS²×ICRV (β = −2,932, p &lt; ,001). Số hạng FSTS²×ICRV âm tính cho thấy</w:t>
      </w:r>
      <w:r>
        <w:t xml:space="preserve"> </w:t>
      </w:r>
      <w:r>
        <w:rPr>
          <w:iCs/>
          <w:i/>
        </w:rPr>
        <w:t xml:space="preserve">độ lõm</w:t>
      </w:r>
      <w:r>
        <w:t xml:space="preserve"> </w:t>
      </w:r>
      <w:r>
        <w:t xml:space="preserve">của đường cong I–P sâu hơn khi thể chế suy yếu (nhóm ICRV cao hơn): hình chữ U ngược gay gắt nhất ở các chế độ tiên phong và dễ tổn thương, và phẳng nhất — thậm chí hơi lồi trong phạm vi quan sát — ở nhóm thể chế mạnh nhất. Phân tách theo nhóm ICRV, các điểm ngưỡng ước tính tụ quanh mức 40% FSTS thay vì dịch chuyển đơn điệu; chế độ thể chế chi phối</w:t>
      </w:r>
      <w:r>
        <w:t xml:space="preserve"> </w:t>
      </w:r>
      <w:r>
        <w:rPr>
          <w:iCs/>
          <w:i/>
        </w:rPr>
        <w:t xml:space="preserve">cường độ của độ lõm</w:t>
      </w:r>
      <w:r>
        <w:t xml:space="preserve"> </w:t>
      </w:r>
      <w:r>
        <w:t xml:space="preserve">nhiều hơn là vị trí chính xác của đỉnh. Mẫu này nhất quán với việc các doanh nghiệp trong môi trường thể chế yếu hơn đối mặt với lợi nhuận giảm dần dốc hơn khi cam kết xuất khẩu sâu, trong khi các doanh nghiệp ở chế độ tiên tiến thể hiện một biên dạng I–P phẳng hơn, tuyến tính hơn trên phạm vi quan sát.</w:t>
      </w:r>
    </w:p>
    <w:p>
      <w:pPr>
        <w:pStyle w:val="BodyText"/>
      </w:pPr>
      <w:r>
        <w:rPr>
          <w:bCs/>
          <w:b/>
        </w:rPr>
        <w:t xml:space="preserve">H5 được ủng hộ.</w:t>
      </w:r>
      <w:r>
        <w:t xml:space="preserve"> </w:t>
      </w:r>
      <w:r>
        <w:t xml:space="preserve">Chế độ thể chế ICRV điều tiết có hệ thống cả độ dốc lẫn độ cong của hàm I–P, với độ lõm của hình chữ U ngược sâu hơn khi chất lượng thể chế suy giảm.</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25,7%, LM p = ,026), thiết lập rằng hình chữ U ngược giữ vững ngay cả trong đặc tả đòi hỏi nhất. Tương tác DAI×ICRV (β = +0,052, p = ,049, *) có ý nghĩa thống kê, nhất quán với dự đoán CDCM rằng năng lực số cung cấp hiệu ứng hiệu quả mạnh hơn trên mỗi đơn vị trong môi trường thể chế yếu hơn. Số hạng ba chiều FSTS×DAI×ICRV (β = −0,016,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,057 trong M11 (so với ,039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,049),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bookmarkEnd w:id="42"/>
    <w:bookmarkStart w:id="43" w:name="tính-vững-đa-chiều-của-hiệu-quả"/>
    <w:p>
      <w:pPr>
        <w:pStyle w:val="Heading3"/>
      </w:pPr>
      <w:r>
        <w:t xml:space="preserve">4.8 Tính Vững Đa Chiều của Hiệu Quả</w:t>
      </w:r>
    </w:p>
    <w:p>
      <w:pPr>
        <w:pStyle w:val="FirstParagraph"/>
      </w:pPr>
      <w:r>
        <w:t xml:space="preserve">Hiệu quả doanh nghiệp mang tính đa chiều (Combs, Crook, &amp; Shook, 2005; Richard, Devinney, Yip, &amp; Johnson, 2009), do đó chúng tôi kiểm tra liệu hình chữ U ngược có giữ vững với một cách thao tác hóa thay thế hay không. Bên cạnh kết quả</w:t>
      </w:r>
      <w:r>
        <w:t xml:space="preserve"> </w:t>
      </w:r>
      <w:r>
        <w:rPr>
          <w:iCs/>
          <w:i/>
        </w:rPr>
        <w:t xml:space="preserve">mức</w:t>
      </w:r>
      <w:r>
        <w:t xml:space="preserve"> </w:t>
      </w:r>
      <w:r>
        <w:t xml:space="preserve">năng suất lao động là biến chính, chúng tôi tái ước lượng mối quan hệ I–P trên</w:t>
      </w:r>
      <w:r>
        <w:t xml:space="preserve"> </w:t>
      </w:r>
      <w:r>
        <w:rPr>
          <w:bCs/>
          <w:b/>
        </w:rPr>
        <w:t xml:space="preserve">tăng trưởng doanh số</w:t>
      </w:r>
      <w:r>
        <w:t xml:space="preserve"> </w:t>
      </w:r>
      <w:r>
        <w:t xml:space="preserve">thực ba năm (được khôi phục từ các mục doanh số WBES, với FE quốc gia-năm hấp thụ lạm phát trong từng đợt). Hình chữ U ngược được nhận diện rõ nét đối với mức năng suất (FSTS² β = −0,80, p = ,008; TP ≈ 37%) nhưng</w:t>
      </w:r>
      <w:r>
        <w:t xml:space="preserve"> </w:t>
      </w:r>
      <w:r>
        <w:rPr>
          <w:bCs/>
          <w:b/>
        </w:rPr>
        <w:t xml:space="preserve">không</w:t>
      </w:r>
      <w:r>
        <w:t xml:space="preserve"> </w:t>
      </w:r>
      <w:r>
        <w:t xml:space="preserve">được phát hiện đối với tăng trưởng doanh số (FSTS² β ≈ 0, p = ,16; n.s.). Sự khác biệt này nhất quán về mặt lý thuyết chứ không mâu thuẫn: cơ chế điểm tối ưu được tái định vị liên quan đến</w:t>
      </w:r>
      <w:r>
        <w:t xml:space="preserve"> </w:t>
      </w:r>
      <w:r>
        <w:rPr>
          <w:iCs/>
          <w:i/>
        </w:rPr>
        <w:t xml:space="preserve">giá trị nắm bắt được trên mỗi đơn vị quốc tế hóa</w:t>
      </w:r>
      <w:r>
        <w:t xml:space="preserve"> </w:t>
      </w:r>
      <w:r>
        <w:t xml:space="preserve">— một thuộc tính tồn kho (stock) của năng suất — chứ không phải động lực dòng (flow) của tăng trưởng theo từng kỳ. Một chiều thứ ba dự kiến là tăng trưởng việc làm không thể được xây dựng vì bảng dữ liệu chuẩn hóa không giữ lại mục việc làm có độ trễ cần thiết, và các file doanh nghiệp thô cần để khôi phục nó chỉ có sẵn cho một số ít nền kinh tế; chúng tôi nêu đây là một hạn chế đo lường. Do đó, hình chữ U ngược chủ đạo nên được đọc như một thuộc tính của mức năng suất theo mặt cắt ngang, chứ không phải của quỹ đạo tăng trưởng doanh nghiệp.</w:t>
      </w:r>
    </w:p>
    <w:p>
      <w:r>
        <w:pict>
          <v:rect style="width:0;height:1.5pt" o:hralign="center" o:hrstd="t" o:hr="t"/>
        </w:pict>
      </w:r>
    </w:p>
    <w:bookmarkEnd w:id="43"/>
    <w:bookmarkEnd w:id="44"/>
    <w:bookmarkStart w:id="51" w:name="thảo-luận"/>
    <w:p>
      <w:pPr>
        <w:pStyle w:val="Heading2"/>
      </w:pPr>
      <w:r>
        <w:t xml:space="preserve">5. Thảo Luận</w:t>
      </w:r>
    </w:p>
    <w:bookmarkStart w:id="45"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w:t>
      </w:r>
      <w:r>
        <w:t xml:space="preserve"> </w:t>
      </w:r>
      <w:r>
        <w:rPr>
          <w:iCs/>
          <w:i/>
        </w:rPr>
        <w:t xml:space="preserve">dạng thức</w:t>
      </w:r>
      <w:r>
        <w:t xml:space="preserve"> </w:t>
      </w:r>
      <w:r>
        <w:t xml:space="preserve">của nó không phải là một tham số cấu trúc cố định: chế độ thể chế chi phối</w:t>
      </w:r>
      <w:r>
        <w:t xml:space="preserve"> </w:t>
      </w:r>
      <w:r>
        <w:rPr>
          <w:iCs/>
          <w:i/>
        </w:rPr>
        <w:t xml:space="preserve">độ lõm</w:t>
      </w:r>
      <w:r>
        <w:t xml:space="preserve"> </w:t>
      </w:r>
      <w:r>
        <w:t xml:space="preserve">của đường cong (H5) — một hình chữ U ngược rõ nét ở các chế độ thể chế yếu hơn, và phẳng dần về gần tuyến tính ở các chế độ tiên tiến — trong khi năng lực số tái tạo đường cong và tái định vị điểm tối ưu hữu hiệu của nó (H3).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+0,052, p = ,049)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45 nền kinh tế, qua đó cung cấp một giàn khung có thể chuyển giao để lý thuyết hóa chiến lược doanh nghiệp trong các chế độ thể chế không đồng nhất.</w:t>
      </w:r>
    </w:p>
    <w:bookmarkEnd w:id="45"/>
    <w:bookmarkStart w:id="46"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37% cường độ doanh số nước ngoài, vững trên 45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37%;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độ lõm của đường cong sâu hơn khi thể chế suy yếu, vì vậy các nghiên cứu tại các nền kinh tế tiên phong có khả năng phát hiện một hình chữ U ngược gay gắt hơn, trong khi các nghiên cứu tại các nền kinh tế tiên tiến về thể chế có xu hướng quan sát một biên dạng nhánh lên phẳng hơn, tuyến tính hơn trên phạm vi cường độ xuất khẩu quan sát được.</w:t>
      </w:r>
    </w:p>
    <w:bookmarkEnd w:id="46"/>
    <w:bookmarkStart w:id="47"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45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7"/>
    <w:bookmarkStart w:id="48"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+0,052, p = ,049)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8"/>
    <w:bookmarkStart w:id="49"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22–23%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9"/>
    <w:bookmarkStart w:id="50"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45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50"/>
    <w:bookmarkEnd w:id="51"/>
    <w:bookmarkStart w:id="52"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45 nền kinh tế và 98 đợt khảo sát, mối quan hệ I–P hình chữ U ngược mang tính phổ quát về dạng thức — đạt đỉnh ở khoảng 37% cường độ xuất khẩu — song</w:t>
      </w:r>
      <w:r>
        <w:t xml:space="preserve"> </w:t>
      </w:r>
      <w:r>
        <w:rPr>
          <w:iCs/>
          <w:i/>
        </w:rPr>
        <w:t xml:space="preserve">dạng thức</w:t>
      </w:r>
      <w:r>
        <w:t xml:space="preserve"> </w:t>
      </w:r>
      <w:r>
        <w:t xml:space="preserve">của nó lại được điều kiện hóa một cách đồng thời bởi chế độ thể chế và năng lực số — thể chế chi phối độ lõm của đường cong còn năng lực số tái tạo nó — và năng lực số vận hành như một nhân tố thay thế một phần cho sức mạnh thể chế. Ba hàm ý được rút ra. Đối với các doanh nghiệp ở nhánh lên (FSTS &lt; 37%),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,049)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2"/>
    <w:bookmarkStart w:id="53"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3"/>
    <w:bookmarkStart w:id="54"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28.500, AdjR² = ,057, TP = 25,7%, LM p = ,026): DAI×ICRV = +0,052</w:t>
      </w:r>
      <w:r>
        <w:rPr>
          <w:iCs/>
          <w:i/>
        </w:rPr>
        <w:t xml:space="preserve">, ba chiều FSTS×DAI×ICRV = −0,016 (NS), mgr_experience = +0,022</w:t>
      </w:r>
      <w:r>
        <w:rPr>
          <w:bCs/>
          <w:b/>
        </w:rPr>
        <w:t xml:space="preserve">, FSTS×mgr = +0,007 (NS), mgr_female = +0,210</w:t>
      </w:r>
      <w:r>
        <w:t xml:space="preserve">*, female_owner = +0,122**.</w:t>
      </w:r>
    </w:p>
    <w:p>
      <w:r>
        <w:pict>
          <v:rect style="width:0;height:1.5pt" o:hralign="center" o:hrstd="t" o:hr="t"/>
        </w:pict>
      </w:r>
    </w:p>
    <w:bookmarkEnd w:id="54"/>
    <w:bookmarkStart w:id="55"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2026-05-27T11:48:10Z</dcterms:created>
  <dcterms:modified xsi:type="dcterms:W3CDTF">2026-05-27T11:48:10Z</dcterms:modified>
</cp:coreProperties>
</file>

<file path=docProps/custom.xml><?xml version="1.0" encoding="utf-8"?>
<Properties xmlns="http://schemas.openxmlformats.org/officeDocument/2006/custom-properties" xmlns:vt="http://schemas.openxmlformats.org/officeDocument/2006/docPropsVTypes"/>
</file>