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32"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1"/>
    <w:bookmarkStart w:id="22"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2"/>
    <w:bookmarkStart w:id="23"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 "lá chắn số");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3"/>
    <w:bookmarkStart w:id="24"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 "digital shield" 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4"/>
    <w:bookmarkStart w:id="25" w:name="mục-lục"/>
    <w:p>
      <w:pPr>
        <w:pStyle w:val="Heading2"/>
      </w:pPr>
      <w:r>
        <w:t xml:space="preserve">MỤC LỤC</w:t>
      </w:r>
    </w:p>
    <w:p>
      <w:pPr>
        <w:pStyle w:val="FirstParagraph"/>
      </w:pPr>
      <w:r>
        <w:rPr>
          <w:iCs/>
          <w:i/>
        </w:rPr>
        <w:t xml:space="preserve">(Tự động cập nhật khi xuất bản; cấu trúc tóm tắt)</w:t>
      </w:r>
    </w:p>
    <w:p>
      <w:pPr>
        <w:numPr>
          <w:ilvl w:val="0"/>
          <w:numId w:val="1001"/>
        </w:numPr>
        <w:pStyle w:val="Compact"/>
      </w:pPr>
      <w:r>
        <w:t xml:space="preserve">Chương 1. Giới thiệu</w:t>
      </w:r>
    </w:p>
    <w:p>
      <w:pPr>
        <w:numPr>
          <w:ilvl w:val="0"/>
          <w:numId w:val="1001"/>
        </w:numPr>
        <w:pStyle w:val="Compact"/>
      </w:pPr>
      <w:r>
        <w:t xml:space="preserve">Chương 2. Cơ sở lý thuyết và tổng quan tài liệu</w:t>
      </w:r>
    </w:p>
    <w:p>
      <w:pPr>
        <w:numPr>
          <w:ilvl w:val="0"/>
          <w:numId w:val="1001"/>
        </w:numPr>
        <w:pStyle w:val="Compact"/>
      </w:pPr>
      <w:r>
        <w:t xml:space="preserve">Chương 3. Phương pháp nghiên cứu</w:t>
      </w:r>
    </w:p>
    <w:p>
      <w:pPr>
        <w:numPr>
          <w:ilvl w:val="0"/>
          <w:numId w:val="1001"/>
        </w:numPr>
        <w:pStyle w:val="Compact"/>
      </w:pPr>
      <w:r>
        <w:t xml:space="preserve">Chương 4. Kết quả nghiên cứu</w:t>
      </w:r>
    </w:p>
    <w:p>
      <w:pPr>
        <w:numPr>
          <w:ilvl w:val="0"/>
          <w:numId w:val="1001"/>
        </w:numPr>
        <w:pStyle w:val="Compact"/>
      </w:pPr>
      <w:r>
        <w:t xml:space="preserve">Chương 5. Thảo luận và kết luận</w:t>
      </w:r>
    </w:p>
    <w:p>
      <w:pPr>
        <w:numPr>
          <w:ilvl w:val="0"/>
          <w:numId w:val="1001"/>
        </w:numPr>
        <w:pStyle w:val="Compact"/>
      </w:pPr>
      <w:r>
        <w:t xml:space="preserve">Tài liệu tham khảo</w:t>
      </w:r>
    </w:p>
    <w:p>
      <w:pPr>
        <w:numPr>
          <w:ilvl w:val="0"/>
          <w:numId w:val="1001"/>
        </w:numPr>
        <w:pStyle w:val="Compact"/>
      </w:pPr>
      <w:r>
        <w:t xml:space="preserve">Phụ lục</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danh-mục-bảng"/>
    <w:p>
      <w:pPr>
        <w:pStyle w:val="Heading2"/>
      </w:pPr>
      <w:r>
        <w:t xml:space="preserve">DANH MỤC BẢNG</w:t>
      </w:r>
    </w:p>
    <w:p>
      <w:pPr>
        <w:pStyle w:val="FirstParagraph"/>
      </w:pPr>
      <w:r>
        <w:rPr>
          <w:iCs/>
          <w:i/>
        </w:rPr>
        <w:t xml:space="preserve">(Tự động cập nhật. Ví dụ: Bảng 4.1 — Phân tán năng suất lao động và đặc điểm quốc tế hóa theo phân nhóm con ICRV; Bảng 4.2 — Đổi mới sáng tạo và chấp nhận số theo phân nhóm con ICRV; Bảng định nghĩa biến cho từng nghiên cứu thành phần ở Chương 3; Bảng tổng hợp kết quả theo hệ giả thuyết §4.8.)</w:t>
      </w:r>
    </w:p>
    <w:bookmarkEnd w:id="27"/>
    <w:bookmarkStart w:id="28" w:name="danh-mục-hình"/>
    <w:p>
      <w:pPr>
        <w:pStyle w:val="Heading2"/>
      </w:pPr>
      <w:r>
        <w:t xml:space="preserve">DANH MỤC HÌNH</w:t>
      </w:r>
    </w:p>
    <w:p>
      <w:pPr>
        <w:numPr>
          <w:ilvl w:val="0"/>
          <w:numId w:val="1002"/>
        </w:numPr>
        <w:pStyle w:val="Compact"/>
      </w:pPr>
      <w:r>
        <w:t xml:space="preserve">Hình 2.1. Khung khái niệm tích hợp đa tầng CDCM (Chương 2)</w:t>
      </w:r>
    </w:p>
    <w:p>
      <w:pPr>
        <w:numPr>
          <w:ilvl w:val="0"/>
          <w:numId w:val="1002"/>
        </w:numPr>
        <w:pStyle w:val="Compact"/>
      </w:pPr>
      <w:r>
        <w:t xml:space="preserve">Hình 4.x. Họ đường cong I–P phụ thuộc chế độ thể chế ICRV (Chương 4)</w:t>
      </w:r>
    </w:p>
    <w:p>
      <w:pPr>
        <w:numPr>
          <w:ilvl w:val="0"/>
          <w:numId w:val="1002"/>
        </w:numPr>
        <w:pStyle w:val="Compact"/>
      </w:pPr>
      <w:r>
        <w:t xml:space="preserve">Các hình mô tả bổ sung (phân bố pool, mật độ năng suất, v.v.) đặt tại</w:t>
      </w:r>
      <w:r>
        <w:t xml:space="preserve"> </w:t>
      </w:r>
      <w:r>
        <w:rPr>
          <w:rStyle w:val="VerbatimChar"/>
        </w:rPr>
        <w:t xml:space="preserve">thesis/figures/</w:t>
      </w:r>
      <w:r>
        <w:t xml:space="preserve">.</w:t>
      </w:r>
    </w:p>
    <w:p>
      <w:r>
        <w:pict>
          <v:rect style="width:0;height:1.5pt" o:hralign="center" o:hrstd="t" o:hr="t"/>
        </w:pict>
      </w:r>
    </w:p>
    <w:bookmarkEnd w:id="28"/>
    <w:bookmarkStart w:id="31"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 k = 113; nền tảng cho P1/P2/P6.)</w:t>
      </w:r>
    </w:p>
    <w:p>
      <w:pPr>
        <w:numPr>
          <w:ilvl w:val="0"/>
          <w:numId w:val="1003"/>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29">
        <w:r>
          <w:rPr>
            <w:rStyle w:val="Hyperlink"/>
          </w:rPr>
          <w:t xml:space="preserve">https://doi.org/10.5772/intechopen.1011012</w:t>
        </w:r>
      </w:hyperlink>
      <w:r>
        <w:t xml:space="preserve"> </w:t>
      </w:r>
      <w:r>
        <w:rPr>
          <w:iCs/>
          <w:i/>
        </w:rPr>
        <w:t xml:space="preserve">(Công trình tiền đề đã công bố về Ấn Độ — 380 doanh nghiệp WBES, ước lượng FGLS, lăng kính thượng tầng quản trị; được nghiên cứu thành phần P9 trích dẫn như prior author work.)</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3"/>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4"/>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4"/>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4"/>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4"/>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4"/>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4"/>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numPr>
          <w:ilvl w:val="0"/>
          <w:numId w:val="1004"/>
        </w:numPr>
        <w:pStyle w:val="Compact"/>
      </w:pPr>
      <w:r>
        <w:t xml:space="preserve">Nghiên cứu thành phần P9 —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bCs/>
          <w:b/>
        </w:rPr>
        <w:t xml:space="preserve">C. Công trình liên quan khác đã công bố (cùng hướng quốc tế hóa–hiệu quả, được trích dẫn trong luận án)</w:t>
      </w:r>
    </w:p>
    <w:p>
      <w:pPr>
        <w:numPr>
          <w:ilvl w:val="0"/>
          <w:numId w:val="1005"/>
        </w:numPr>
        <w:pStyle w:val="Compact"/>
      </w:pP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w:t>
      </w:r>
      <w:r>
        <w:t xml:space="preserve"> </w:t>
      </w:r>
      <w:hyperlink r:id="rId30">
        <w:r>
          <w:rPr>
            <w:rStyle w:val="Hyperlink"/>
          </w:rPr>
          <w:t xml:space="preserve">https://doi.org/10.5267/j.ac.2020.9.006</w:t>
        </w:r>
      </w:hyperlink>
      <w:r>
        <w:t xml:space="preserve"> </w:t>
      </w:r>
      <w:r>
        <w:rPr>
          <w:iCs/>
          <w:i/>
        </w:rPr>
        <w:t xml:space="preserve">(Thổ Nhĩ Kỳ — nền tảng từ luận văn thạc sĩ về điều tiết của đặc điểm nhà quản trị; được trích ở H4.)</w:t>
      </w:r>
    </w:p>
    <w:p>
      <w:pPr>
        <w:numPr>
          <w:ilvl w:val="0"/>
          <w:numId w:val="1005"/>
        </w:numPr>
        <w:pStyle w:val="Compact"/>
      </w:pPr>
      <w:r>
        <w:t xml:space="preserve">Le, K. N., Do, T. H., &amp; Phan, A. T. (2021). Internationalization and Turkish manufacturing firm performance: Does managerial personality matter?</w:t>
      </w:r>
      <w:r>
        <w:t xml:space="preserve"> </w:t>
      </w:r>
      <w:r>
        <w:rPr>
          <w:iCs/>
          <w:i/>
        </w:rPr>
        <w:t xml:space="preserve">[Tên ấn phẩm — NCS xác nhận]</w:t>
      </w:r>
      <w:r>
        <w:t xml:space="preserve">.</w:t>
      </w:r>
      <w:r>
        <w:t xml:space="preserve"> </w:t>
      </w:r>
      <w:r>
        <w:rPr>
          <w:iCs/>
          <w:i/>
        </w:rPr>
        <w:t xml:space="preserve">(Thổ Nhĩ Kỳ — tính cách nhà quản trị.)</w:t>
      </w:r>
    </w:p>
    <w:p>
      <w:pPr>
        <w:numPr>
          <w:ilvl w:val="0"/>
          <w:numId w:val="1005"/>
        </w:numPr>
        <w:pStyle w:val="Compact"/>
      </w:pPr>
      <w:r>
        <w:t xml:space="preserve">Phan, A. T., Van Song, N., Van Tien, D., Van Ha, T., Tiep, N. C., Thang, D. Q., et al.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rPr>
          <w:iCs/>
          <w:i/>
        </w:rPr>
        <w:t xml:space="preserve">(Ba Lan — đặc điểm nhà quản trị và rào cản tài chính điều tiết I–P; được trích ở H4.)</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doi.org/10.5267/j.ac.2020.9.006" TargetMode="External" /><Relationship Type="http://schemas.openxmlformats.org/officeDocument/2006/relationships/hyperlink" Id="rId29" Target="https://doi.org/10.5772/intechopen.1011012"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5267/j.ac.2020.9.006" TargetMode="External" /><Relationship Type="http://schemas.openxmlformats.org/officeDocument/2006/relationships/hyperlink" Id="rId29" Target="https://doi.org/10.5772/intechopen.10110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2026-06-09T03:06:52Z</dcterms:created>
  <dcterms:modified xsi:type="dcterms:W3CDTF">2026-06-09T03:06:52Z</dcterms:modified>
</cp:coreProperties>
</file>

<file path=docProps/custom.xml><?xml version="1.0" encoding="utf-8"?>
<Properties xmlns="http://schemas.openxmlformats.org/officeDocument/2006/custom-properties" xmlns:vt="http://schemas.openxmlformats.org/officeDocument/2006/docPropsVTypes"/>
</file>