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các nghiên cứu,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24" w:name="các-khái-niệm-cốt-lõi"/>
    <w:p>
      <w:pPr>
        <w:pStyle w:val="Heading2"/>
      </w:pPr>
      <w:r>
        <w:t xml:space="preserve">2.1 Các khái niệm cốt lõi</w:t>
      </w:r>
    </w:p>
    <w:bookmarkStart w:id="20"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w:t>
      </w:r>
    </w:p>
    <w:p>
      <w:pPr>
        <w:pStyle w:val="BodyText"/>
      </w:pPr>
      <w:r>
        <w:t xml:space="preserve">Trong các nghiên cứu,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I–P sử dụng bộ dữ liệu tương tự (Bhandari et al., 2023; Do &amp; Phan, 2026a).</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bookmarkEnd w:id="20"/>
    <w:bookmarkStart w:id="21"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các nghiên cứu.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(Do &amp; Phan, 2026a). Luận án sử dụng thước đo này làm biến phụ thuộc chính, với ROS và tăng trưởng doanh thu được sử dụng như các thước đo robustness để kiểm tra tính nhất quán của kết quả.</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21"/>
    <w:bookmarkStart w:id="22"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construct: năng lực công nghệ (Technological Capability Index, TCI) và chỉ số chấp nhận số (Digital Adoption Index, DAI). Trong nhiều nghiên cứu trước đây, hai construct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 Bustamante et al., 2022).</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RBV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proxy</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construct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I–P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22"/>
    <w:bookmarkStart w:id="23"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47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(Advanced Innovation-Driven, bao gồm Singapore, Hong Kong, Đài Loan, Hàn Quốc), Nhóm II (Advanced Resource-Driven, bao gồm các nền kinh tế vùng Vịnh), Nhóm III (Upper-middle, điển hình là Trung Quốc), Nhóm IV (Lower-middle transition, bao gồm Việt Nam và Ấn Độ), Nhóm V (Frontier), và Nhóm VI (Pacific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từ môi trường thể chế mạnh, ít rủi ro (Nhóm I) đến môi trường thể chế yếu, nhiều rủi ro và khoảng trống thể chế (Nhóm V và VI). Gradient này tạo ra điều kiện biên (boundary conditions) quan trọng để kiểm định khả năng tổng quát hóa của mối quan hệ I–P, đặc biệt liên quan đến giả thuyết phi tuyến.</w:t>
      </w:r>
    </w:p>
    <w:p>
      <w:r>
        <w:pict>
          <v:rect style="width:0;height:1.5pt" o:hralign="center" o:hrstd="t" o:hr="t"/>
        </w:pict>
      </w:r>
    </w:p>
    <w:bookmarkEnd w:id="23"/>
    <w:bookmarkEnd w:id="24"/>
    <w:bookmarkStart w:id="30" w:name="các-lý-thuyết-nền"/>
    <w:p>
      <w:pPr>
        <w:pStyle w:val="Heading2"/>
      </w:pPr>
      <w:r>
        <w:t xml:space="preserve">2.2 Các lý thuyết nền</w:t>
      </w:r>
    </w:p>
    <w:bookmarkStart w:id="25"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platform firms,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bookmarkEnd w:id="25"/>
    <w:bookmarkStart w:id="26"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RBV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RBV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liability of foreignness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RBV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(Tier-1 proxy) đo lường sự hiện diện website, phản ánh mức độ chấp nhận kỹ thuật số cơ bản chứ không phải năng lực động theo nghĩa Teece et al. (1997). RBV cung cấp nền lý thuyết trực tiếp cho giả thuyết H2 về vai trò điều tiết của TCI, trong khi H3 về DAI được neo đậu trong Foundational Digital Adoption Framework (Banalieva &amp; Dhanaraj, 2019).</w:t>
      </w:r>
    </w:p>
    <w:bookmarkEnd w:id="26"/>
    <w:bookmarkStart w:id="27"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(institutional voids)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các nghiên cứu về quan hệ I–P, bằng chứng meta-analytic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bookmarkEnd w:id="27"/>
    <w:bookmarkStart w:id="28"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Upper Echelons Theory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liability of foreignness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bookmarkEnd w:id="28"/>
    <w:bookmarkStart w:id="29" w:name="lớp-mở-rộng-digital-capability-lens"/>
    <w:p>
      <w:pPr>
        <w:pStyle w:val="Heading3"/>
      </w:pPr>
      <w:r>
        <w:t xml:space="preserve">2.2.5 Lớp mở rộng: Digital Capability Lens</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systematic review về quốc tế hóa của các doanh nghiệp số, phác thảo các lý thuyết cần điều chỉnh và hướng nghiên cứu tiếp theo.</w:t>
      </w:r>
    </w:p>
    <w:p>
      <w:pPr>
        <w:pStyle w:val="BodyText"/>
      </w:pPr>
      <w:r>
        <w:t xml:space="preserve">Trong luận án, lớp mở rộng về năng lực số đóng vai trò mở rộng RBV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w:t>
      </w:r>
    </w:p>
    <w:p>
      <w:r>
        <w:pict>
          <v:rect style="width:0;height:1.5pt" o:hralign="center" o:hrstd="t" o:hr="t"/>
        </w:pict>
      </w:r>
    </w:p>
    <w:bookmarkEnd w:id="29"/>
    <w:bookmarkEnd w:id="30"/>
    <w:bookmarkStart w:id="35" w:name="tổng-quan-thực-nghiệm"/>
    <w:p>
      <w:pPr>
        <w:pStyle w:val="Heading2"/>
      </w:pPr>
      <w:r>
        <w:t xml:space="preserve">2.3 Tổng quan thực nghiệm</w:t>
      </w:r>
    </w:p>
    <w:bookmarkStart w:id="31" w:name="X06f0ff9f981ed4ea574df3cd600adeb68f65e69"/>
    <w:p>
      <w:pPr>
        <w:pStyle w:val="Heading3"/>
      </w:pPr>
      <w:r>
        <w:t xml:space="preserve">2.3.1 Giai đoạn phát triển của các nghiên cứu I–P</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(inverted-U)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w:t>
      </w:r>
    </w:p>
    <w:p>
      <w:pPr>
        <w:pStyle w:val="BodyText"/>
      </w:pPr>
      <w:r>
        <w:t xml:space="preserve">Giai đoạn thứ ba (từ cuối thập niên 2000 đến hiện tại) chuyển trọng tâm sang nghiên cứu các yếu tố điều tiết (moderators), tức điều kiện bối cảnh làm thay đổi hình dạng, cường độ, hoặc dấu của mối quan hệ I–P. Các moderator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I–P phổ quát, kết quả quốc tế hóa phụ thuộc vào điều kiện cụ thể của doanh nghiệp, ngành và quốc gia (Arte &amp; Larimo, 2022).</w:t>
      </w:r>
    </w:p>
    <w:bookmarkEnd w:id="31"/>
    <w:bookmarkStart w:id="32" w:name="bằng-chứng-meta-analytic"/>
    <w:p>
      <w:pPr>
        <w:pStyle w:val="Heading3"/>
      </w:pPr>
      <w:r>
        <w:t xml:space="preserve">2.3.2 Bằng chứng meta-analytic</w:t>
      </w:r>
    </w:p>
    <w:p>
      <w:pPr>
        <w:pStyle w:val="FirstParagraph"/>
      </w:pPr>
      <w:r>
        <w:t xml:space="preserve">Bước tiến phương pháp luận quan trọng nhất của giai đoạn gần đây là sự xuất hiện của các meta-analysis về quan hệ I–P, cho phép tổng hợp và định lượng hóa kết quả từ hàng trăm nghiên cứu thực nghiệm riêng lẻ và do đó kiểm soát được nhiễu do từng mẫu nghiên cứu đơn lẻ gây ra. Khi đặt cạnh nhau, các meta-analysis chính phác họa một bức tranh nhất quán ở kết luận tổng thể nhưng phức tạp ở cơ chế.</w:t>
      </w:r>
    </w:p>
    <w:p>
      <w:pPr>
        <w:pStyle w:val="BodyText"/>
      </w:pPr>
      <w:r>
        <w:t xml:space="preserve">Bausch và Krist (2007) phân tích 65 nghiên cứu và tìm thấy tác động tổng hợp dương nhưng nhỏ (r</w:t>
      </w:r>
      <w:r>
        <w:t xml:space="preserve"> </w:t>
      </w:r>
      <m:oMath>
        <m:r>
          <m:rPr>
            <m:sty m:val="p"/>
          </m:rPr>
          <m:t>≈</m:t>
        </m:r>
      </m:oMath>
      <w:r>
        <w:t xml:space="preserve"> </w:t>
      </w:r>
      <w:r>
        <w:t xml:space="preserve">0,10), đồng thời xác nhận rằng mức độ dị biệt (heterogeneity) giữa các nghiên cứu rất cao với I² &gt; 80%, hàm ý rằng các moderator là nguồn giải thích chủ yếu cho sự khác biệt. Kirca et al. (2012) mở rộng pool lên 154 mẫu và tìm thấy tác động tổng hợp tương tự, đồng thời xác nhận vai trò của bối cảnh quốc gia và ngành. Marano et al. (2016), nghiên cứu meta-analytic toàn diện nhất trong các nghiên cứu với 170 nghiên cứu và 32 quốc gia, tìm thấy r</w:t>
      </w:r>
      <w:r>
        <w:t xml:space="preserve"> </w:t>
      </w:r>
      <m:oMath>
        <m:r>
          <m:rPr>
            <m:sty m:val="p"/>
          </m:rPr>
          <m:t>≈</m:t>
        </m:r>
      </m:oMath>
      <w:r>
        <w:t xml:space="preserve"> </w:t>
      </w:r>
      <w:r>
        <w:t xml:space="preserve">0,07–0,13 và chứng minh rằng thể chế quốc gia nguồn là moderator quan trọng nhất trong tất cả các biến bối cảnh được kiểm định. Wu et al. (2022) cập nhật với pool 218 effect sizes tập trung vào các emerging market multinationals (EMNEs) và tìm thấy mô hình moderator tương tự. Tại hội nghị ICBEF 2024, kết quả sơ bộ từ pool nghiên cứu về châu Á với k = 113 effect-size units cho thấy r = 0,07, nhất quán với các meta-analyses toàn cầu nhưng cụ thể hơn về bối cảnh châu Á. Luận án này mở rộng pool đó thông qua Nghiên cứu P6, một meta-analysis ba tầng (three-level MARA) với k = 238 nghiên cứu và K = 288 effect sizes từ châu Á và Thái Bình Dương, ước lượng r̄ = 0,074 [KTC 95%: 0,060; 0,088], I² = 62,4%, Q_M(ICRV) = 17,35 (df = 4, p = ,002). Kết quả này xác nhận tác động tổng hợp dương nhỏ nhưng bền vững, đồng thời chứng minh rằng gradient ICRV, turning point giảm dần khi chuyển từ thể chế yếu sang thể chế mạnh, là moderator thực chất của mối quan hệ I–P trong bối cảnh châu Á (Do &amp; Phan, 2026c).</w:t>
      </w:r>
    </w:p>
    <w:p>
      <w:pPr>
        <w:pStyle w:val="BodyText"/>
      </w:pPr>
      <w:r>
        <w:t xml:space="preserve">Nhìn chung, bằng chứng meta-analytic cho thấy ba kết luận quan trọng: tác động tổng hợp của quốc tế hóa lên hiệu quả là dương nhưng khiêm tốn; mức dị biệt cực kỳ cao; và các moderator bối cảnh, đặc biệt là thể chế quốc gia, năng lực doanh nghiệp, và đặc điểm ngành, là những nguồn giải thích chính cho sự khác biệt giữa các nghiên cứu. Đây là luận điểm cơ bản biện hộ cho sự cần thiết của một khung giải thích đa tầng.</w:t>
      </w:r>
    </w:p>
    <w:bookmarkEnd w:id="32"/>
    <w:bookmarkStart w:id="33" w:name="X2dab31dc90ae94a491c7104c141028484c6eeaa"/>
    <w:p>
      <w:pPr>
        <w:pStyle w:val="Heading3"/>
      </w:pPr>
      <w:r>
        <w:t xml:space="preserve">2.3.3 Bối cảnh châu Á và các nền kinh tế mới nổi</w:t>
      </w:r>
    </w:p>
    <w:p>
      <w:pPr>
        <w:pStyle w:val="FirstParagraph"/>
      </w:pPr>
      <w:r>
        <w:t xml:space="preserve">Châu Á là bối cảnh vừa quan trọng vừa đặc thù đối với nghiên cứu I–P, vì hai đặc điểm khó tìm thấy đồng thời ở bất kỳ khu vực nào khác.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Pacific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Do và Phan (2026a) là nghiên cứu thực nghiệm multi-country quy mô lớn nhất hiện có về I–P trong bối cảnh châu Á mới nổi, phân tích 40.633 doanh nghiệp từ 17 nền kinh tế châu Á sử dụng dữ liệu WBES. Nghiên cứu tìm thấy: (i) tồn tại phân tầng năng suất rõ rệt giữa nhóm Chinese economies, South Asia và ASEAN, phản ánh sự dị biệt thể chế và năng lực giữa các nhóm; (ii) việc áp dụng công nghệ vừa làm tăng năng suất lao động trực tiếp vừa làm suy giảm đáng kể tác động bất lợi của các rào cản thể chế, phát hiện được gọi là</w:t>
      </w:r>
      <w:r>
        <w:t xml:space="preserve"> </w:t>
      </w:r>
      <w:r>
        <w:t xml:space="preserve">“</w:t>
      </w:r>
      <w:r>
        <w:t xml:space="preserve">hiệu ứng lá chắn số</w:t>
      </w:r>
      <w:r>
        <w:t xml:space="preserve">”</w:t>
      </w:r>
      <w:r>
        <w:t xml:space="preserve"> </w:t>
      </w:r>
      <w:r>
        <w:t xml:space="preserve">(digital shield effect). Do và Phan (2026g) kiểm định cụ thể với dữ liệu doanh nghiệp Trung Quốc và tìm thấy cấu trúc cubic inverted-U với ngưỡng FSTS tối ưu khoảng 47,8%, tức điểm turning point khá thấp so với các nền kinh tế tiên tiến. Luận án kế thừa và mở rộng các kết quả này trên pool đầy đủ 49 nền kinh tế (bao gồm 9 nền kinh tế đảo nhỏ Thái Bình Dương).</w:t>
      </w:r>
    </w:p>
    <w:p>
      <w:pPr>
        <w:pStyle w:val="BodyText"/>
      </w:pPr>
      <w:r>
        <w:t xml:space="preserve">Phần lớn các nghiên cứu về I–P trong bối cảnh châu Á tập trung vào Nhật Bản, Hàn Quốc, Đài Loan, và Trung Quốc, trong khi các nền kinh tế chuyển đổi như Việt Nam, Campuchia, Bangladesh, và đặc biệt là các Pacific SIDS, về cơ bản thiếu vắng trong các nghiên cứu. Sự thiếu đại diện này tạo ra khoảng trống nghiêm trọng trong khả năng khái quát hóa lý thuyết, vì các nền kinh tế frontier và SIDS có thể là địa điểm quan trọng để kiểm định điều kiện biên (boundary conditions) của các lý thuyết về I–P.</w:t>
      </w:r>
    </w:p>
    <w:bookmarkEnd w:id="33"/>
    <w:bookmarkStart w:id="34" w:name="X732d7d1b7e90f1451ce2bd542fd674aab0604d1"/>
    <w:p>
      <w:pPr>
        <w:pStyle w:val="Heading3"/>
      </w:pPr>
      <w:r>
        <w:t xml:space="preserve">2.3.4 Vai trò của năng lực số trong mối quan hệ I–P</w:t>
      </w:r>
    </w:p>
    <w:p>
      <w:pPr>
        <w:pStyle w:val="FirstParagraph"/>
      </w:pPr>
      <w:r>
        <w:t xml:space="preserve">Sự tích hợp giữa nghiên cứu về năng lực số và I–P relationship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I–P, với doanh nghiệp có năng lực số cao hơn thu được lợi ích lớn hơn từ quốc tế hóa. Bustamante et al. (2022) sử dụng mẫu SMEs đa quốc gia và phát hiện rằng công cụ số làm giảm chi phí thâm nhập thị trường nước ngoài, đặc biệt ở các thị trường có khoảng trống thể chế lớn.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r>
        <w:pict>
          <v:rect style="width:0;height:1.5pt" o:hralign="center" o:hrstd="t" o:hr="t"/>
        </w:pict>
      </w:r>
    </w:p>
    <w:bookmarkEnd w:id="34"/>
    <w:bookmarkEnd w:id="35"/>
    <w:bookmarkStart w:id="36"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heterogeneity trong I–P relationship.</w:t>
      </w:r>
      <w:r>
        <w:t xml:space="preserve"> </w:t>
      </w:r>
      <w:r>
        <w:t xml:space="preserve">Các meta-analyses nhất quán cho thấy I² &gt; 80%, tức hơn 80% biến thiên trong effect size không được giải thích bởi sai số ngẫu nhiên mà bởi sự khác biệt có hệ thống giữa các bối cảnh (Bausch &amp; Krist, 2007; Marano et al., 2016). Tuy nhiên, hầu hết các nghiên cứu thực nghiệm hiện tại chỉ kiểm định một hoặc hai moderator từ một lý thuyết đơn lẻ, không có khả năng giải thích đồng thời heterogeneity do bối cảnh thể chế, năng lực doanh nghiệp, và đặc điểm lãnh đạo tạo ra. Không có lý thuyết đơn lẻ nào, dù là Uppsala, RBV, Institutional Theory, hay Upper Echelons Theory, đủ để giải thích đầy đủ sự phức tạp của I–P relationship trong bối cảnh đa quốc gia đa dạng như châu Á. Khoảng trống này đòi hỏi một khung tích hợp đa tầng, trong đó các lý thuyết bổ sung cho nhau thay vì cạnh tranh nhau.</w:t>
      </w:r>
    </w:p>
    <w:p>
      <w:pPr>
        <w:pStyle w:val="BodyText"/>
      </w:pPr>
      <w:r>
        <w:rPr>
          <w:bCs/>
          <w:b/>
        </w:rPr>
        <w:t xml:space="preserve">Khoảng trống thứ hai: Sự đồng nhất không hợp lý giữa TCI và DAI trong phần lớn các nghiên cứu trước.</w:t>
      </w:r>
      <w:r>
        <w:t xml:space="preserve"> </w:t>
      </w:r>
      <w:r>
        <w:t xml:space="preserve">Phần lớn các nghiên cứu về năng lực số trong bối cảnh I–P hoặc là không đo lường năng lực số, hoặc là gộp tất cả các chỉ báo số vào một composite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cross-country quy mô lớn, toàn diện và có cấu trúc cho bối cảnh châu Á.</w:t>
      </w:r>
      <w:r>
        <w:t xml:space="preserve"> </w:t>
      </w:r>
      <w:r>
        <w:t xml:space="preserve">Mặc dù châu Á là khu vực kinh tế năng động và đa dạng nhất thế giới, các nghiên cứu về quan hệ I–P vẫn thiếu bằng chứng đa quốc gia bao quát đủ rộng để kiểm định khả năng tổng quát hóa của các lý thuyết. Pool 17 nước của Do và Phan (2026a) là baseline lớn nhất hiện có trong các nghiên cứu về châu Á, nhưng vẫn chưa bao gồm các nền kinh tế frontier và Pacific SIDS, những địa điểm cực kỳ quan trọng để kiểm định boundary conditions. Thiếu vắng các bằng chứng này khiến cho các lý thuyết về I–P, vốn được xây dựng chủ yếu trên dữ liệu từ Nhật Bản, Hàn Quốc, và các nền kinh tế tiên tiến, có nguy cơ bị áp dụng sai trong bối cảnh các nền kinh tế đang phát triển và chuyển đổi ở châu Á.</w:t>
      </w:r>
    </w:p>
    <w:p>
      <w:pPr>
        <w:pStyle w:val="BodyText"/>
      </w:pPr>
      <w:r>
        <w:t xml:space="preserve">Ba khoảng trống này hội tụ vào một hướng giải quyết chung: cần phát triển và kiểm định một khung giải thích tích hợp đa tầng (multi-tier integrated framework) trên dữ liệu đa quốc gia đủ rộng và đủ đa dạng về thể chế để bao phủ toàn bộ gradient thể chế của châu Á. Luận án đề xuất khung CDCM (Context-Contingent Digital-and-Capability Model), là khung lý thuyết tích hợp đa tầng kết hợp bối cảnh thể chế (tầng vĩ mô, vận hành hóa bằng ICRV), năng lực doanh nghiệp với TCI và DAI riêng biệt (tầng tổ chức), đặc điểm nhà quản trị cấp cao (tầng cá nhân), và lớp mở rộng digital capability lens. Trong khung này, FSTS là biến độc lập chính và hiệu quả doanh nghiệp (labor productivity) là biến phụ thuộc.</w:t>
      </w:r>
    </w:p>
    <w:p>
      <w:pPr>
        <w:pStyle w:val="BodyText"/>
      </w:pPr>
      <w:r>
        <w:rPr>
          <w:bCs/>
          <w:b/>
        </w:rPr>
        <w:t xml:space="preserve">Từ khoảng trống đến Nghiên cứu P7, Kiểm định CDCM trên 49 nền kinh tế châu Á.</w:t>
      </w:r>
      <w:r>
        <w:t xml:space="preserve"> </w:t>
      </w:r>
      <w:r>
        <w:t xml:space="preserve">Khoảng trống thứ nhất và thứ ba hội tụ vào một câu hỏi kiểm định trực tiếp: liệu CDCM có thể giải thích đồng thời heterogeneity I–P khi kiểm soát đầy đủ cả ba tầng trong một mô hình tích hợp ở quy mô đủ rộng để bao phủ toàn bộ gradient ICRV không? Literature hiện tại chưa có bằng chứng kiểm định đồng thời năm moderator chính (TCI, DAI, kinh nghiệm quản trị, giới tính nhà quản trị, ICRV) trong một mô hình hồi quy đơn lẻ trên dữ liệu đa quốc gia quy mô lớn. Do và Phan (2026d), Nghiên cứu P7, lấp đầy khoảng trống này bằng dữ liệu WBES từ 49 nền kinh tế (N = 84.910–91.982 doanh nghiệp, 102 country-year waves), bao phủ toàn bộ gradient ICRV từ nhóm tiên tiến đến SIDS, kiểm định đồng thời H1–H6 với country-year fixed effects. Kết quả turning point trung bình ~36% FSTS tại P7, thấp hơn P3 Vietnam (~40%) và P5 Trung Quốc (~49%), xác nhận ICRV điều tiết vị trí turning point theo gradient dự đoán lý thuyết, đóng góp bằng chứng kiểm định tích hợp đầu tiên cho CDCM ở cấp độ liên quốc gia quy mô lớn.</w:t>
      </w:r>
    </w:p>
    <w:p>
      <w:pPr>
        <w:pStyle w:val="BodyText"/>
      </w:pPr>
      <w:r>
        <w:rPr>
          <w:bCs/>
          <w:b/>
        </w:rPr>
        <w:t xml:space="preserve">Từ khoảng trống đến Nghiên cứu P8, Kiểm định điều kiện biên FIP tại Pacific SIDS.</w:t>
      </w:r>
      <w:r>
        <w:t xml:space="preserve"> </w:t>
      </w:r>
      <w:r>
        <w:t xml:space="preserve">Khoảng trống thứ ba không chỉ đòi hỏi mở rộng phạm vi địa lý mà còn đòi hỏi kiểm định điều kiện biên lý thuyết cực trị: liệu có tồn tại bối cảnh nơi inverted-U hoàn toàn sụp đổ thành quan hệ âm đơn điệu? Không có nghiên cứu nào trong các nghiên cứu I–P hiện tại kiểm định</w:t>
      </w:r>
      <w:r>
        <w:t xml:space="preserve"> </w:t>
      </w:r>
      <w:r>
        <w:t xml:space="preserve">“</w:t>
      </w:r>
      <w:r>
        <w:t xml:space="preserve">Forced Internationalization Penalty</w:t>
      </w:r>
      <w:r>
        <w:t xml:space="preserve">”</w:t>
      </w:r>
      <w:r>
        <w:t xml:space="preserve"> </w:t>
      </w:r>
      <w:r>
        <w:t xml:space="preserve">(FIP), bối cảnh mà quốc tế hóa là gánh nặng sinh tồn, không phải lựa chọn chiến lược dựa trên lợi thế cạnh tranh. Do và Phan (2026b), Nghiên cứu P8, kiểm định H1b bằng dữ liệu WBES từ các nền kinh tế Pacific SIDS (Fiji, Tonga, Solomon Islands, Vanuatu, Samoa), nơi ba điều kiện cấu trúc cơ bản của inverted-U đồng thời bị vi phạm: thị trường nội địa cực nhỏ, chi phí logistics cao bất thường, và hỗ trợ thể chế cho xuất khẩu gần như không tồn tại. Kết quả P8 xác định boundary condition cực trị của CDCM: điểm nơi lý thuyết đường cong chữ U ngược không còn ứng dụng được.</w:t>
      </w:r>
    </w:p>
    <w:p>
      <w:r>
        <w:pict>
          <v:rect style="width:0;height:1.5pt" o:hralign="center" o:hrstd="t" o:hr="t"/>
        </w:pict>
      </w:r>
    </w:p>
    <w:bookmarkEnd w:id="36"/>
    <w:bookmarkStart w:id="45" w:name="mô-hình-nghiên-cứu-và-hệ-giả-thuyết"/>
    <w:p>
      <w:pPr>
        <w:pStyle w:val="Heading2"/>
      </w:pPr>
      <w:r>
        <w:t xml:space="preserve">2.5 Mô hình nghiên cứu và hệ giả thuyết</w:t>
      </w:r>
    </w:p>
    <w:bookmarkStart w:id="37"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bối cảnh thể chế, được vận hành hóa bằng khung ICRV với sáu sub-regime theo gradient từ Advanced Innovation-Driven đến Pacific SIDS. Ở tầng này, ICRV điều tiết mối quan hệ I–P thông qua hai cơ chế: (i) mức độ khoảng trống thể chế (institutional voids) ảnh hưởng đến chi phí giao dịch xuyên biên giới; và (ii) chất lượng thể chế ảnh hưởng đến khả năng doanh nghiệp khai thác lợi ích từ quốc tế hóa. Ở các nền kinh tế frontier và SIDS, khoảng trống thể chế cực kỳ lớn có thể đảo ngược quan hệ I–P, biến lợi ích tiềm năng thành tổn thất thực tế (Do &amp; Phan, 2026b).</w:t>
      </w:r>
    </w:p>
    <w:p>
      <w:pPr>
        <w:pStyle w:val="BodyText"/>
      </w:pPr>
      <w:r>
        <w:t xml:space="preserve">Tầng tổ chức, năng lực doanh nghiệp, bao gồm TCI và DAI như hai moderator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turning point sang phải và kéo dài giai đoạn lợi ích dương của quan hệ I–P.</w:t>
      </w:r>
    </w:p>
    <w:p>
      <w:pPr>
        <w:pStyle w:val="BodyText"/>
      </w:pPr>
      <w:r>
        <w:t xml:space="preserve">Tầng cá nhân, đặc điểm nhà quản trị cấp cao, bao gồm kinh nghiệm quản trị và giới tính nhà quản trị như các moderator vi mô. Kinh nghiệm quốc tế của nhà quản trị giảm chi phí nhận thức của liability of foreignness;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I–P (turning point của inverted-U) không cố định theo thời gian mà có thể thay đổi khi bối cảnh thể chế và năng lực doanh nghiệp thay đổi theo chiều dọc, đặc biệt rõ rệt ở các nền kinh tế chuyển đổi nhanh như Trung Quốc.</w:t>
      </w:r>
    </w:p>
    <w:bookmarkEnd w:id="37"/>
    <w:bookmarkStart w:id="38"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RBV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turning point tối ưu trước khi chi phí điều phối và bất định vượt qua lợi ích từ mở rộng thị trường quốc tế. Cơ sở lý thuyết trực tiếp bao gồm mô hình S-curve của Lu và Beamish (2004), lý thuyết ba giai đoạn của Contractor et al. (2003), và bằng chứng inverted-U ban đầu của Hitt et al. (1997).</w:t>
      </w:r>
    </w:p>
    <w:bookmarkEnd w:id="38"/>
    <w:bookmarkStart w:id="39" w:name="X4428ed197d44616af17a87137bdb8f71ba3b36a"/>
    <w:p>
      <w:pPr>
        <w:pStyle w:val="Heading3"/>
      </w:pPr>
      <w:r>
        <w:t xml:space="preserve">2.5.2b Điều kiện biên H1b: Gánh nặng quốc tế hóa bắt buộc (FIP) tại Pacific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Pacific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I–P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Pacific SIDS (ICRV Nhóm VI), mối quan hệ giữa mức độ quốc tế hóa (FSTS) và hiệu quả hoạt động doanh nghiệp (năng suất lao động) là</w:t>
      </w:r>
      <w:r>
        <w:t xml:space="preserve"> </w:t>
      </w:r>
      <w:r>
        <w:rPr>
          <w:bCs/>
          <w:b/>
        </w:rPr>
        <w:t xml:space="preserve">âm đơn điệu</w:t>
      </w:r>
      <w:r>
        <w:t xml:space="preserve">, không có điểm turning point trong phạm vi dữ liệu, phản ánh gánh nặng quốc tế hóa bắt buộc (Forced Internationalization Penalty, FIP) nơi doanh nghiệp xuất khẩu để sinh tồn chứ không phải để khai thác lợi thế cạnh tranh. Cơ sở lý thuyết bao gồm Institutional Theory (North, 1990), lý thuyết chi phí giao dịch (Williamson, 1985), Khanna và Palepu (2010) về institutional voids, và Lall (2004) về SIDS structural constraints.</w:t>
      </w:r>
    </w:p>
    <w:bookmarkEnd w:id="39"/>
    <w:bookmarkStart w:id="40" w:name="X4e283c765855921a9a0bf70a9d0a980f4bd502f"/>
    <w:p>
      <w:pPr>
        <w:pStyle w:val="Heading3"/>
      </w:pPr>
      <w:r>
        <w:t xml:space="preserve">2.5.3 Giả thuyết H2: Điều tiết bởi năng lực công nghệ (TCI)</w:t>
      </w:r>
    </w:p>
    <w:p>
      <w:pPr>
        <w:pStyle w:val="FirstParagraph"/>
      </w:pPr>
      <w:r>
        <w:t xml:space="preserve">Dựa trên RBV (Barney, 1991) và lý thuyết năng lực động (Teece et al., 1997), năng lực công nghệ là một nguồn lực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I–P lên cao hơn và có thể điều chỉnh vị trí của điểm turning point. Cơ sở lý thuyết bao gồm Barney (1991), Teece et al. (1997), và Bhandari et al. (2023).</w:t>
      </w:r>
    </w:p>
    <w:bookmarkEnd w:id="40"/>
    <w:bookmarkStart w:id="41"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I–P, với vai trò bổ trợ rõ rệt hơn ở mức export intensity cao khi DAI giúp giảm chi phí phối hợp giao dịch xuyên biên giới, theo đó DAI làm thay đổi độ dốc của đường quan hệ I–P chứ không nhất thiết nâng mặt bằng hiệu quả như TCI. Cơ sở lý thuyết bao gồm Verhoef et al. (2021), Stallkamp và Schotter (2021), và Bustamante et al. (2022). Sự phân biệt cơ chế tác động giữa H2 và H3 là đóng góp lý thuyết quan trọng, cho phép phân tách TCI và DAI trong mô hình hồi quy thực nghiệm.</w:t>
      </w:r>
    </w:p>
    <w:bookmarkEnd w:id="41"/>
    <w:bookmarkStart w:id="42" w:name="X23e235aa1540adf65664378accbc0b6a13fdffd"/>
    <w:p>
      <w:pPr>
        <w:pStyle w:val="Heading3"/>
      </w:pPr>
      <w:r>
        <w:t xml:space="preserve">2.5.5 Giả thuyết H4: Điều tiết bởi đặc điểm nhà quản trị cấp cao</w:t>
      </w:r>
    </w:p>
    <w:p>
      <w:pPr>
        <w:pStyle w:val="FirstParagraph"/>
      </w:pPr>
      <w:r>
        <w:t xml:space="preserve">Dựa trên Upper Echelons Theory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w:t>
      </w:r>
    </w:p>
    <w:bookmarkEnd w:id="42"/>
    <w:bookmarkStart w:id="43" w:name="X1090b4891c9abf48d7aab0f24d22e9d66d1b02d"/>
    <w:p>
      <w:pPr>
        <w:pStyle w:val="Heading3"/>
      </w:pPr>
      <w:r>
        <w:t xml:space="preserve">2.5.6 Giả thuyết H5: Điều tiết bởi bối cảnh thể chế (ICRV)</w:t>
      </w:r>
    </w:p>
    <w:p>
      <w:pPr>
        <w:pStyle w:val="FirstParagraph"/>
      </w:pPr>
      <w:r>
        <w:t xml:space="preserve">Trên cơ sở Institutional Theory (North, 1990; Khanna &amp; Palepu, 2010), chất lượng thể chế tạo ra chi phí giao dịch và rủi ro khác nhau, do đó điều tiết đáng kể mối quan hệ I–P. Giả thuyết H5 được phát biểu như sau. Chất lượng thể chế theo khung ICRV điều tiết tác động của các rào cản thể chế (institutional obstacles) lên hiệu quả hoạt động trong quá trình quốc tế hóa, với chỉ số chấp nhận số (DAI) đóng vai trò</w:t>
      </w:r>
      <w:r>
        <w:t xml:space="preserve"> </w:t>
      </w:r>
      <w:r>
        <w:t xml:space="preserve">“</w:t>
      </w:r>
      <w:r>
        <w:t xml:space="preserve">lá chắn số</w:t>
      </w:r>
      <w:r>
        <w:t xml:space="preserve">”</w:t>
      </w:r>
      <w:r>
        <w:t xml:space="preserve"> </w:t>
      </w:r>
      <w:r>
        <w:t xml:space="preserve">(digital shield) giúp bù đắp một phần khoảng trống thể chế; cường độ điều tiết này giảm dần theo gradient ICRV từ các nền kinh tế frontier (Nhóm V–VI, điều tiết mạnh nhất) đến các nền kinh tế tiên tiến (Nhóm I, điều tiết yếu nhất). Cơ sở lý thuyết bao gồm North (1990), Khanna và Palepu (2010), và Marano et al. (2016).</w:t>
      </w:r>
    </w:p>
    <w:bookmarkEnd w:id="43"/>
    <w:bookmarkStart w:id="44" w:name="Xef57ba07d4a873fdbd0fe03fe237e0edc9cc461"/>
    <w:p>
      <w:pPr>
        <w:pStyle w:val="Heading3"/>
      </w:pPr>
      <w:r>
        <w:t xml:space="preserve">2.5.7 Giả thuyết H6: Dị biệt thời gian trong quan hệ I–P</w:t>
      </w:r>
    </w:p>
    <w:p>
      <w:pPr>
        <w:pStyle w:val="FirstParagraph"/>
      </w:pPr>
      <w:r>
        <w:t xml:space="preserve">Dựa trên quan sát về tốc độ chuyển đổi số và thay đổi thể chế rất nhanh ở một số nền kinh tế châu Á, đặc biệt Trung Quốc, quan hệ I–P không nhất thiết ổn định theo thời gian. Giả thuyết H6 được phát biểu như sau. Hình dạng phi tuyến của quan hệ I–P, cụ thể là vị trí của điểm turning point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 Bằng chứng từ Do và Phan (2026g) về sự ổn định tương đối của turning point Trung Quốc giữa 2012 và 2024 (Paternoster z = +0,82, p = .412, không bác bỏ bằng nhau) cung cấp cơ sở thực nghiệm bổ sung cho việc kiểm định H6 ở cấp độ luận án.</w:t>
      </w:r>
    </w:p>
    <w:p>
      <w:r>
        <w:pict>
          <v:rect style="width:0;height:1.5pt" o:hralign="center" o:hrstd="t" o:hr="t"/>
        </w:pict>
      </w:r>
    </w:p>
    <w:bookmarkEnd w:id="44"/>
    <w:bookmarkEnd w:id="45"/>
    <w:bookmarkStart w:id="46"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bằng labor productivity là chính), năng lực công nghệ (TCI) và chỉ số chấp nhận số (DAI) như hai construct độc lập, và bối cảnh thể chế được vận hành hóa bằng khung ICRV sáu nhóm. Phần lý thuyết nền trình bày và phân tích bốn lý thuyết kinh điển, Uppsala, RBV, Institutional Theory, và Upper Echelons Theory, cùng với lớp mở rộng Digital Capability Lens, xác định vai trò của từng lý thuyết trong khung giải thích tổng thể của luận án.</w:t>
      </w:r>
    </w:p>
    <w:p>
      <w:pPr>
        <w:pStyle w:val="BodyText"/>
      </w:pPr>
      <w:r>
        <w:t xml:space="preserve">Tổng quan thực nghiệm cho thấy các nghiên cứu I–P đã phát triển qua ba giai đoạn, từ tuyến tính dương đến phi tuyến đến tập trung vào moderators; các meta-analyses nhất quán cho thấy tác động tổng hợp là dương nhưng nhỏ với I² &gt; 80%, đòi hỏi cách tiếp cận moderator-centric; và bối cảnh châu Á, đặc biệt là các nền kinh tế frontier và SIDS, đang thiếu đại diện nghiêm trọng trong các nghiên cứu.</w:t>
      </w:r>
    </w:p>
    <w:p>
      <w:pPr>
        <w:pStyle w:val="BodyText"/>
      </w:pPr>
      <w:r>
        <w:t xml:space="preserve">Ba khoảng trống được xác định: thiếu khung tích hợp đa tầng, sự đồng nhất không hợp lý TCI–DAI, và thiếu bằng chứng cross-country quy mô lớn có cấu trúc cho châu Á. Để lấp đầy ba khoảng trống này, luận án đề xuất khung CDCM và phát triển sáu giả thuyết (H1–H6) bao phủ phi tuyến cơ bản, vai trò của TCI và DAI, vai trò của đặc điểm nhà quản trị, vai trò của thể chế ICRV, và dị biệt thời gian. Chương 3 sẽ trình bày thiết kế phương pháp và chiến lược kiểm định hệ giả thuyết này.</w:t>
      </w:r>
    </w:p>
    <w:bookmarkEnd w:id="46"/>
    <w:bookmarkEnd w:id="4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2026-05-25T07:53:43Z</dcterms:created>
  <dcterms:modified xsi:type="dcterms:W3CDTF">2026-05-25T07:53:43Z</dcterms:modified>
</cp:coreProperties>
</file>

<file path=docProps/custom.xml><?xml version="1.0" encoding="utf-8"?>
<Properties xmlns="http://schemas.openxmlformats.org/officeDocument/2006/custom-properties" xmlns:vt="http://schemas.openxmlformats.org/officeDocument/2006/docPropsVTypes"/>
</file>