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3-phương-pháp-nghiên-cứu"/>
    <w:p>
      <w:pPr>
        <w:pStyle w:val="Heading1"/>
      </w:pPr>
      <w:r>
        <w:t xml:space="preserve">CHƯƠNG 3: PHƯƠNG PHÁP NGHIÊN CỨU</w:t>
      </w:r>
    </w:p>
    <w:bookmarkEnd w:id="20"/>
    <w:p>
      <w:r>
        <w:pict>
          <v:rect style="width:0;height:1.5pt" o:hralign="center" o:hrstd="t" o:hr="t"/>
        </w:pict>
      </w:r>
    </w:p>
    <w:bookmarkStart w:id="23" w:name="thiết-kế-nghiên-cứu-tổng-thể"/>
    <w:p>
      <w:pPr>
        <w:pStyle w:val="Heading2"/>
      </w:pPr>
      <w:r>
        <w:t xml:space="preserve">3.1 Thiết kế nghiên cứu tổng thể</w:t>
      </w:r>
    </w:p>
    <w:bookmarkStart w:id="21" w:name="loại-thiết-kế"/>
    <w:p>
      <w:pPr>
        <w:pStyle w:val="Heading3"/>
      </w:pPr>
      <w:r>
        <w:t xml:space="preserve">3.1.1 Loại thiết kế</w:t>
      </w:r>
    </w:p>
    <w:p>
      <w:pPr>
        <w:pStyle w:val="FirstParagraph"/>
      </w:pPr>
      <w:r>
        <w:t xml:space="preserve">Luận án sử dụng</w:t>
      </w:r>
      <w:r>
        <w:t xml:space="preserve"> </w:t>
      </w:r>
      <w:r>
        <w:rPr>
          <w:bCs/>
          <w:b/>
        </w:rPr>
        <w:t xml:space="preserve">mixed synthesis-empirical design</w:t>
      </w:r>
      <w:r>
        <w:t xml:space="preserve"> </w:t>
      </w:r>
      <w:r>
        <w:t xml:space="preserve">gồm hai phase bổ sung cho nhau. Phase thứ nhất là meta-analysis tổng hợp các nghiên cứu để trả lời RQ1, còn phase thứ hai là phân tích thực nghiệm doanh nghiệp đa quốc gia để trả lời RQ2–RQ4. Hai phase đối thoại hai chiều: meta cung cấp baseline và gợi ý moderator cần kiểm định, còn empirical cung cấp bằng chứng bổ sung cho meta về bối cảnh châu Á và Pacific.</w:t>
      </w:r>
    </w:p>
    <w:p>
      <w:pPr>
        <w:pStyle w:val="BodyText"/>
      </w:pPr>
      <w:r>
        <w:rPr>
          <w:bCs/>
          <w:b/>
        </w:rPr>
        <w:t xml:space="preserve">Cơ sở kế thừa</w:t>
      </w:r>
      <w:r>
        <w:t xml:space="preserve">: Mixed design kết hợp meta và primary data đã được áp dụng trong quản trị chiến lược và IB (Borenstein et al., 2009; Hunter &amp; Schmidt, 2004; Combs et al., 2011).</w:t>
      </w:r>
    </w:p>
    <w:p>
      <w:pPr>
        <w:pStyle w:val="BodyText"/>
      </w:pPr>
      <w:r>
        <w:rPr>
          <w:bCs/>
          <w:b/>
        </w:rPr>
        <w:t xml:space="preserve">Đóng góp mới</w:t>
      </w:r>
      <w:r>
        <w:t xml:space="preserve">: Áp dụng mixed design cho một luận án duy nhất về internationalization–firm performance trong bối cảnh châu Á và Pacific với</w:t>
      </w:r>
      <w:r>
        <w:t xml:space="preserve"> </w:t>
      </w:r>
      <w:r>
        <w:rPr>
          <w:bCs/>
          <w:b/>
        </w:rPr>
        <w:t xml:space="preserve">47 nền kinh tế</w:t>
      </w:r>
      <w:r>
        <w:t xml:space="preserve"> </w:t>
      </w:r>
      <w:r>
        <w:t xml:space="preserve">là thiết kế hiếm gặp; đa số các luận án IB chỉ làm một trong hai phase. Quy mô 47 nước/101.185 doanh nghiệp là phạm vi địa lý lớn nhất từng có cho khu vực, mở rộng từ pool 17 nước trong Do và Phan (2026a).</w:t>
      </w:r>
    </w:p>
    <w:bookmarkEnd w:id="21"/>
    <w:bookmarkStart w:id="22"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meta-analysis trước đây; (ii) xây dựng khung lý thuyết tích hợp đa tầng và hệ giả thuyết H1–H6; (iii) tiến hành meta-analysis cập nhật 1982–2026; (iv) thu thập và chuẩn hóa dữ liệu WBES cho</w:t>
      </w:r>
      <w:r>
        <w:t xml:space="preserve"> </w:t>
      </w:r>
      <w:r>
        <w:rPr>
          <w:bCs/>
          <w:b/>
        </w:rPr>
        <w:t xml:space="preserve">47 nền kinh tế châu Á và Pacific</w:t>
      </w:r>
      <w:r>
        <w:t xml:space="preserve"> </w:t>
      </w:r>
      <w:r>
        <w:t xml:space="preserve">sau khi hòa hợp 3 thế hệ schema (PICS3, Standardized, BREADY/BEE); (v) ước lượng mô hình thực nghiệm theo bối cảnh quốc gia và đa quốc gia; (vi) kiểm định độ vững và tích hợp kết quả để đóng góp lý thuyết.</w:t>
      </w:r>
    </w:p>
    <w:bookmarkEnd w:id="22"/>
    <w:bookmarkEnd w:id="23"/>
    <w:bookmarkStart w:id="27" w:name="phase-1-meta-analysis-19822026"/>
    <w:p>
      <w:pPr>
        <w:pStyle w:val="Heading2"/>
      </w:pPr>
      <w:r>
        <w:t xml:space="preserve">3.2 Phase 1, Meta-analysis 1982–2026</w:t>
      </w:r>
    </w:p>
    <w:bookmarkStart w:id="24" w:name="cơ-sở-kế-thừa"/>
    <w:p>
      <w:pPr>
        <w:pStyle w:val="Heading3"/>
      </w:pPr>
      <w:r>
        <w:t xml:space="preserve">3.2.1 Cơ sở kế thừa</w:t>
      </w:r>
    </w:p>
    <w:p>
      <w:pPr>
        <w:pStyle w:val="FirstParagraph"/>
      </w:pPr>
      <w:r>
        <w:t xml:space="preserve">Meta-analysis trong IB đã được thiết lập vững chắc qua nhiều thập kỷ (Hunter &amp; Schmidt, 2004; Borenstein et al., 2009). Phương pháp chuẩn bao gồm: xây dựng inclusion criteria theo PRISMA (Page et al., 2021), transmit hiệu ứng bằng Fisher’s</w:t>
      </w:r>
      <w:r>
        <w:t xml:space="preserve"> </w:t>
      </w:r>
      <m:oMath>
        <m:r>
          <m:t>z</m:t>
        </m:r>
      </m:oMath>
      <w:r>
        <w:t xml:space="preserve">, tính pooled effect size theo random-effects, kiểm định heterogeneity bằng</w:t>
      </w:r>
      <w:r>
        <w:t xml:space="preserve"> </w:t>
      </w:r>
      <m:oMath>
        <m:r>
          <m:t>Q</m:t>
        </m:r>
      </m:oMath>
      <w:r>
        <w:t xml:space="preserve">-test và</w:t>
      </w:r>
      <w:r>
        <w:t xml:space="preserve"> </w:t>
      </w:r>
      <m:oMath>
        <m:sSup>
          <m:e>
            <m:r>
              <m:t>I</m:t>
            </m:r>
          </m:e>
          <m:sup>
            <m:r>
              <m:t>2</m:t>
            </m:r>
          </m:sup>
        </m:sSup>
      </m:oMath>
      <w:r>
        <w:t xml:space="preserve">, và đánh giá publication bias bằng Egger và Begg-Mazumdar (Egger et al., 1997; Begg &amp; Mazumdar, 1994). Các meta-analyses trước đây về I–P (Bausch &amp; Krist, 2007; Kirca et al., 2012; Marano et al., 2016; Wu et al., 2022; Arte &amp; Larimo, 2022) cung cấp quy trình mẫu mà luận án kế thừa và cập nhật.</w:t>
      </w:r>
    </w:p>
    <w:bookmarkEnd w:id="24"/>
    <w:bookmarkStart w:id="25" w:name="đóng-góp-mớiđiều-chỉnh"/>
    <w:p>
      <w:pPr>
        <w:pStyle w:val="Heading3"/>
      </w:pPr>
      <w:r>
        <w:t xml:space="preserve">3.2.2 Đóng góp mới/điều chỉnh</w:t>
      </w:r>
    </w:p>
    <w:p>
      <w:pPr>
        <w:numPr>
          <w:ilvl w:val="0"/>
          <w:numId w:val="1001"/>
        </w:numPr>
        <w:pStyle w:val="Compact"/>
      </w:pPr>
      <w:r>
        <w:rPr>
          <w:bCs/>
          <w:b/>
        </w:rPr>
        <w:t xml:space="preserve">Mở rộng coverage time</w:t>
      </w:r>
      <w:r>
        <w:t xml:space="preserve">: từ 1977–2022 (bài ICBEF 2025) sang</w:t>
      </w:r>
      <w:r>
        <w:t xml:space="preserve"> </w:t>
      </w:r>
      <w:r>
        <w:rPr>
          <w:bCs/>
          <w:b/>
        </w:rPr>
        <w:t xml:space="preserve">1982–2026</w:t>
      </w:r>
      <w:r>
        <w:t xml:space="preserve">, bổ sung các nghiên cứu 2023–2026 liên quan đến digital transformation và EMNEs.</w:t>
      </w:r>
    </w:p>
    <w:p>
      <w:pPr>
        <w:numPr>
          <w:ilvl w:val="0"/>
          <w:numId w:val="1001"/>
        </w:numPr>
        <w:pStyle w:val="Compact"/>
      </w:pPr>
      <w:r>
        <w:rPr>
          <w:bCs/>
          <w:b/>
        </w:rPr>
        <w:t xml:space="preserve">Mở rộng moderator coverage</w:t>
      </w:r>
      <w:r>
        <w:t xml:space="preserve">: thêm cụm moderator về digital capability và 6 sub-regime ICRV, chưa được xem xét đầy đủ trong các meta-analyses trước.</w:t>
      </w:r>
    </w:p>
    <w:p>
      <w:pPr>
        <w:numPr>
          <w:ilvl w:val="0"/>
          <w:numId w:val="1001"/>
        </w:numPr>
        <w:pStyle w:val="Compact"/>
      </w:pPr>
      <w:r>
        <w:rPr>
          <w:bCs/>
          <w:b/>
        </w:rPr>
        <w:t xml:space="preserve">Pool hiện tại</w:t>
      </w:r>
      <w:r>
        <w:t xml:space="preserve">: K=288 effect sizes / k=238 nghiên cứu (baseline trước WoS+Scopus formal search); mục tiêu sau formal search: k$</w:t>
      </w:r>
      <w:r>
        <w:t xml:space="preserve">$250, tăng so với bản nền ICBEF 2025 (K=200 / k=113).</w:t>
      </w:r>
    </w:p>
    <w:p>
      <w:pPr>
        <w:numPr>
          <w:ilvl w:val="0"/>
          <w:numId w:val="1001"/>
        </w:numPr>
        <w:pStyle w:val="Compact"/>
      </w:pPr>
      <w:r>
        <w:rPr>
          <w:bCs/>
          <w:b/>
        </w:rPr>
        <w:t xml:space="preserve">Subgroup theo châu Á và Pacific</w:t>
      </w:r>
      <w:r>
        <w:t xml:space="preserve">: tách riêng nhóm nghiên cứu về doanh nghiệp châu Á và Pacific để cung cấp baseline trực tiếp cho phase empirical, đối chiếu với pool 17 nước trong Do và Phan (2026a).</w:t>
      </w:r>
    </w:p>
    <w:bookmarkEnd w:id="25"/>
    <w:bookmarkStart w:id="26" w:name="quy-trình-prisma"/>
    <w:p>
      <w:pPr>
        <w:pStyle w:val="Heading3"/>
      </w:pPr>
      <w:r>
        <w:t xml:space="preserve">3.2.3 Quy trình PRISMA</w:t>
      </w:r>
    </w:p>
    <w:p>
      <w:pPr>
        <w:pStyle w:val="FirstParagraph"/>
      </w:pPr>
      <w:r>
        <w:t xml:space="preserve">Identification, Screening, Eligibility, Inclusion theo hướng dẫn PRISMA 2020 (Page et al., 2021). Inclusion criteria: nghiên cứu thực nghiệm ở cấp doanh nghiệp, có đo lường internationalization và firm performance, có đủ thống kê để tính effect size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26"/>
    <w:bookmarkEnd w:id="27"/>
    <w:bookmarkStart w:id="36" w:name="X8de0b19c054d402e314fef9726425749df3fc18"/>
    <w:p>
      <w:pPr>
        <w:pStyle w:val="Heading2"/>
      </w:pPr>
      <w:r>
        <w:t xml:space="preserve">3.3 Phase 2, Phân tích thực nghiệm đa quốc gia</w:t>
      </w:r>
    </w:p>
    <w:bookmarkStart w:id="28"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47 nền kinh tế châu Á và Pacific</w:t>
      </w:r>
      <w:r>
        <w:t xml:space="preserve"> </w:t>
      </w:r>
      <w:r>
        <w:t xml:space="preserve">trong giai đoạn</w:t>
      </w:r>
      <w:r>
        <w:t xml:space="preserve"> </w:t>
      </w:r>
      <w:r>
        <w:rPr>
          <w:bCs/>
          <w:b/>
        </w:rPr>
        <w:t xml:space="preserve">2009–2025</w:t>
      </w:r>
      <w:r>
        <w:t xml:space="preserve"> </w:t>
      </w:r>
      <w:r>
        <w:t xml:space="preserve">(101.185 doanh nghiệp · 108 cặp quốc gia × năm · 14 mốc khảo sát) (World Bank, n.d., 2019, 2023, 2026). WBES là bộ dữ liệu doanh nghiệp chuẩn hóa, phù hợp cho nghiên cứu so sánh đa quốc gia về firm-level outcomes (Aterido et al., 2011).</w:t>
      </w:r>
    </w:p>
    <w:p>
      <w:pPr>
        <w:pStyle w:val="BodyText"/>
      </w:pPr>
      <w:r>
        <w:rPr>
          <w:bCs/>
          <w:b/>
        </w:rPr>
        <w:t xml:space="preserve">Cơ sở kế thừa</w:t>
      </w:r>
      <w:r>
        <w:t xml:space="preserve">: WBES đã được sử dụng rộng rãi trong nghiên cứu IB về emerging markets (Ayyagari et al., 2011; Cuervo-Cazurra et al., 2018; Chen &amp; Meng, 2022), đồng thời đã được sử dụng trong bài nghiên cứu thực trạng emerging Asia với 17 nền kinh tế và ~40.633 quan sát doanh nghiệp (Do &amp; Phan, 2026a).</w:t>
      </w:r>
    </w:p>
    <w:p>
      <w:pPr>
        <w:pStyle w:val="BodyText"/>
      </w:pPr>
      <w:r>
        <w:rPr>
          <w:bCs/>
          <w:b/>
        </w:rPr>
        <w:t xml:space="preserve">Đóng góp mới</w:t>
      </w:r>
      <w:r>
        <w:t xml:space="preserve">: mở rộng quy mô từ 17 sang</w:t>
      </w:r>
      <w:r>
        <w:t xml:space="preserve"> </w:t>
      </w:r>
      <w:r>
        <w:rPr>
          <w:bCs/>
          <w:b/>
        </w:rPr>
        <w:t xml:space="preserve">47 nền kinh tế châu Á và Pacific</w:t>
      </w:r>
      <w:r>
        <w:t xml:space="preserve">, với 6 sub-regime ICRV (Advanced innovation-driven, Advanced resource-driven, Upper-middle, Emerging, Frontier, Pacific SIDS). Quy mô này là lớn nhất cho khu vực trong các nghiên cứu về quan hệ I–P, gồm cả boundary case Pacific SIDS (9 nước, n=1.469 (mẫu phân tích sau lọc missing)) cho phép kiểm định forced internationalization penalty (Do &amp; Phan, 2026b).</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các nghiên cứu IB sử dụng WBES (Aterido et al., 2011; Cuervo-Cazurra et al., 2018); (2) Fixed effects ở cấp country-year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§3.5).</w:t>
      </w:r>
    </w:p>
    <w:bookmarkEnd w:id="28"/>
    <w:bookmarkStart w:id="29"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Labor productivity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Labor productivity được sử dụng rộng rãi trong nghiên cứu WBES và trong các nghiên cứu về firm productivity (Bloom et al., 2012; Hsieh &amp; Klenow, 2009). Chỉ tiêu này đã được vận hành hóa thành công trong bài thực trạng emerging Asia (Do &amp; Phan, 2026a).</w:t>
      </w:r>
    </w:p>
    <w:p>
      <w:pPr>
        <w:pStyle w:val="BodyText"/>
      </w:pPr>
      <w:r>
        <w:rPr>
          <w:bCs/>
          <w:b/>
        </w:rPr>
        <w:t xml:space="preserve">Lập luận chọn</w:t>
      </w:r>
      <w:r>
        <w:t xml:space="preserve">: WBES không phải bộ financial statement đầy đủ, nên labor productivity phù hợp hơn ROA/ROE/ROS trong bối cảnh đa quốc gia. Ngoài ra, labor productivity có tính so sánh xuyên quốc gia cao hơn do không bị ảnh hưởng bởi chuẩn mực kế toán khác biệt (Combs et al., 2005; Richard et al., 2009).</w:t>
      </w:r>
    </w:p>
    <w:p>
      <w:pPr>
        <w:pStyle w:val="BodyText"/>
      </w:pPr>
      <w:r>
        <w:rPr>
          <w:bCs/>
          <w:b/>
        </w:rPr>
        <w:t xml:space="preserve">Biến robustness</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firm performance là khái niệm đa chiều và việc lựa chọn thước đo phải phù hợp với bối cảnh dữ liệu (xem</w:t>
      </w:r>
      <w:r>
        <w:t xml:space="preserve"> </w:t>
      </w:r>
      <w:r>
        <w:rPr>
          <w:rStyle w:val="VerbatimChar"/>
        </w:rPr>
        <w:t xml:space="preserve">02_theoretical_framework_vi.md</w:t>
      </w:r>
      <w:r>
        <w:t xml:space="preserve">).</w:t>
      </w:r>
    </w:p>
    <w:bookmarkEnd w:id="29"/>
    <w:bookmarkStart w:id="30"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Foreign Sales To Total Sales (FSTS), đo bằng tỷ lệ doanh thu xuất khẩu trên tổng doanh thu.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và</w:t>
      </w:r>
      <w:r>
        <w:t xml:space="preserve"> </w:t>
      </w:r>
      <m:oMath>
        <m:r>
          <m:t>F</m:t>
        </m:r>
        <m:r>
          <m:t>S</m:t>
        </m:r>
        <m:r>
          <m:t>T</m:t>
        </m:r>
        <m:sSup>
          <m:e>
            <m:r>
              <m:t>S</m:t>
            </m:r>
          </m:e>
          <m:sup>
            <m:r>
              <m:t>3</m:t>
            </m:r>
          </m:sup>
        </m:sSup>
      </m:oMath>
      <w:r>
        <w:t xml:space="preserve"> </w:t>
      </w:r>
      <w:r>
        <w:t xml:space="preserve">để kiểm định phi tuyến S-curve / cubic.</w:t>
      </w:r>
    </w:p>
    <w:p>
      <w:pPr>
        <w:pStyle w:val="BodyText"/>
      </w:pPr>
      <w:r>
        <w:rPr>
          <w:bCs/>
          <w:b/>
        </w:rPr>
        <w:t xml:space="preserve">Cơ sở kế thừa</w:t>
      </w:r>
      <w:r>
        <w:t xml:space="preserve">: FSTS là thước đo internationalization phổ biến nhất trong các nghiên cứu I–P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Specification cubic được Do và Phan (2026g) xác nhận có ý nghĩa thống kê ở Trung Quốc với turning point ~47,8% FSTS, làm baseline cho việc kiểm định mở rộng trong luận án.</w:t>
      </w:r>
    </w:p>
    <w:bookmarkEnd w:id="30"/>
    <w:bookmarkStart w:id="34" w:name="đo-lường-biến-điều-tiết"/>
    <w:p>
      <w:pPr>
        <w:pStyle w:val="Heading3"/>
      </w:pPr>
      <w:r>
        <w:t xml:space="preserve">3.3.4 Đo lường biến điều tiết</w:t>
      </w:r>
    </w:p>
    <w:bookmarkStart w:id="31" w:name="digital-constructs-tci-và-dai"/>
    <w:p>
      <w:pPr>
        <w:pStyle w:val="Heading4"/>
      </w:pPr>
      <w:r>
        <w:t xml:space="preserve">Digital constructs (TCI và DAI)</w:t>
      </w:r>
    </w:p>
    <w:p>
      <w:pPr>
        <w:pStyle w:val="FirstParagraph"/>
      </w:pPr>
      <w:r>
        <w:t xml:space="preserve">Luận án phân biệt rõ hai construct:</w:t>
      </w:r>
    </w:p>
    <w:p>
      <w:pPr>
        <w:numPr>
          <w:ilvl w:val="0"/>
          <w:numId w:val="1002"/>
        </w:numPr>
        <w:pStyle w:val="Compact"/>
      </w:pPr>
      <w:r>
        <w:rPr>
          <w:bCs/>
          <w:b/>
        </w:rPr>
        <w:t xml:space="preserve">Technological Capability Index (TCI)</w:t>
      </w:r>
      <w:r>
        <w:t xml:space="preserve">: chiều sâu năng lực công nghệ, tổng hợp từ foreign technology licensing, R&amp;D spending, product innovation, và quality certification.</w:t>
      </w:r>
    </w:p>
    <w:p>
      <w:pPr>
        <w:numPr>
          <w:ilvl w:val="0"/>
          <w:numId w:val="1002"/>
        </w:numPr>
        <w:pStyle w:val="Compact"/>
      </w:pPr>
      <w:r>
        <w:rPr>
          <w:bCs/>
          <w:b/>
        </w:rPr>
        <w:t xml:space="preserve">Digital Adoption Index (DAI)</w:t>
      </w:r>
      <w:r>
        <w:t xml:space="preserve">: mức độ chấp nhận số bề mặt, tổng hợp từ website, email, online sales (DAI_thin) hoặc bổ sung e-payment và e-supplier (DAI_rich).</w:t>
      </w:r>
    </w:p>
    <w:p>
      <w:pPr>
        <w:pStyle w:val="FirstParagraph"/>
      </w:pPr>
      <w:r>
        <w:rPr>
          <w:bCs/>
          <w:b/>
        </w:rPr>
        <w:t xml:space="preserve">Nguyên tắc non-overlapping</w:t>
      </w:r>
      <w:r>
        <w:t xml:space="preserve">: TCI và DAI không được chia sẻ component để bảo đảm construct purity. Đặc biệt, foreign technology licensing thuộc TCI chứ không được đồng thời tính vào DAI.</w:t>
      </w:r>
    </w:p>
    <w:p>
      <w:pPr>
        <w:pStyle w:val="BodyText"/>
      </w:pPr>
      <w:r>
        <w:rPr>
          <w:bCs/>
          <w:b/>
        </w:rPr>
        <w:t xml:space="preserve">Cơ sở kế thừa</w:t>
      </w:r>
      <w:r>
        <w:t xml:space="preserve">: Bhandari et al. (2023) phân biệt digitalization, internationalization và capability theo resource-orchestration logic; Verhoef et al. (2021) phân biệt three stages (digitization, digitalization, digital transformation). Pattern</w:t>
      </w:r>
      <w:r>
        <w:t xml:space="preserve"> </w:t>
      </w:r>
      <w:r>
        <w:t xml:space="preserve">“</w:t>
      </w:r>
      <w:r>
        <w:t xml:space="preserve">digital shield effect</w:t>
      </w:r>
      <w:r>
        <w:t xml:space="preserve">”</w:t>
      </w:r>
      <w:r>
        <w:t xml:space="preserve"> </w:t>
      </w:r>
      <w:r>
        <w:t xml:space="preserve">được Do và Phan (2026a) phát hiện trên 17 nước châu Á mới nổi.</w:t>
      </w:r>
    </w:p>
    <w:p>
      <w:pPr>
        <w:pStyle w:val="BodyText"/>
      </w:pPr>
      <w:r>
        <w:rPr>
          <w:bCs/>
          <w:b/>
        </w:rPr>
        <w:t xml:space="preserve">Đóng góp mới</w:t>
      </w:r>
      <w:r>
        <w:t xml:space="preserve">: Đưa ra</w:t>
      </w:r>
      <w:r>
        <w:t xml:space="preserve"> </w:t>
      </w:r>
      <w:r>
        <w:rPr>
          <w:bCs/>
          <w:b/>
        </w:rPr>
        <w:t xml:space="preserve">measurement harmonization protocol</w:t>
      </w:r>
      <w:r>
        <w:t xml:space="preserve"> </w:t>
      </w:r>
      <w:r>
        <w:t xml:space="preserve">trong bối cảnh WBES, đảm bảo construct purity ở 47 nền kinh tế châu Á và Pacific, với pipeline hòa hợp 3 thế hệ schema. Phân tách TCI và DAI theo (i) Bharadwaj et al. (2013), IT capability vs digital business strategy có nomological nets khác nhau; (ii) phân tầng 3 cấp của Verhoef et al. (2021), digitization, digitalization, digital transformation; (iii) truyền thống Lall (1992) và Cohen &amp; Levinthal (1990) coi technological capability là chiều sâu năng lực nội tại (absorptive capacity), khác về bản chất với digital adoption ở giao diện ngoại tại; (iv) resource-orchestration logic của Bhandari et al. (2023) cho I–P relationship; và (v) 4 tiêu chí formative composite của Coltman et al. (2008), đảm bảo TCI và DAI là hai composite độc lập.</w:t>
      </w:r>
    </w:p>
    <w:bookmarkEnd w:id="31"/>
    <w:bookmarkStart w:id="32"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chỉ số pháp quyền WGI (Kaufmann et al., 2011), 6 sub-regime ICRV (classification từ Khanna &amp; Palepu, 2010 mở rộng).</w:t>
      </w:r>
    </w:p>
    <w:p>
      <w:pPr>
        <w:pStyle w:val="BodyText"/>
      </w:pPr>
      <w:r>
        <w:rPr>
          <w:bCs/>
          <w:b/>
        </w:rPr>
        <w:t xml:space="preserve">Cơ sở kế thừa</w:t>
      </w:r>
      <w:r>
        <w:t xml:space="preserve">: Khanna và Palepu (2010) với institutional voids; North (1990) với institutional analysis; Marano et al. (2016) với meta-analytic evidence về institutional moderators.</w:t>
      </w:r>
    </w:p>
    <w:bookmarkEnd w:id="32"/>
    <w:bookmarkStart w:id="33"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robustness chứ không bắt buộc trong mô hình chính.</w:t>
      </w:r>
    </w:p>
    <w:bookmarkEnd w:id="33"/>
    <w:bookmarkEnd w:id="34"/>
    <w:bookmarkStart w:id="35" w:name="biến-kiểm-soát"/>
    <w:p>
      <w:pPr>
        <w:pStyle w:val="Heading3"/>
      </w:pPr>
      <w:r>
        <w:t xml:space="preserve">3.3.5 Biến kiểm soát</w:t>
      </w:r>
    </w:p>
    <w:p>
      <w:pPr>
        <w:pStyle w:val="FirstParagraph"/>
      </w:pPr>
      <m:oMath>
        <m:r>
          <m:rPr>
            <m:sty m:val="p"/>
          </m:rPr>
          <m:t>ln</m:t>
        </m:r>
      </m:oMath>
      <w:r>
        <w:t xml:space="preserve"> </w:t>
      </w:r>
      <w:r>
        <w:t xml:space="preserve">employment, firm age, foreign ownership dummy, sector dummy, country fixed effects, year fixed effects.</w:t>
      </w:r>
    </w:p>
    <w:p>
      <w:pPr>
        <w:pStyle w:val="BodyText"/>
      </w:pPr>
      <w:r>
        <w:rPr>
          <w:bCs/>
          <w:b/>
        </w:rPr>
        <w:t xml:space="preserve">Cơ sở kế thừa</w:t>
      </w:r>
      <w:r>
        <w:t xml:space="preserve">: chuẩn trong nghiên cứu WBES và IB (Aterido et al., 2011; Ayyagari et al., 2011).</w:t>
      </w:r>
    </w:p>
    <w:bookmarkEnd w:id="35"/>
    <w:bookmarkEnd w:id="36"/>
    <w:bookmarkStart w:id="50" w:name="mô-hình-phân-tích"/>
    <w:p>
      <w:pPr>
        <w:pStyle w:val="Heading2"/>
      </w:pPr>
      <w:r>
        <w:t xml:space="preserve">3.4 Mô hình phân tích</w:t>
      </w:r>
    </w:p>
    <w:bookmarkStart w:id="37" w:name="mô-hình-meta-analysis"/>
    <w:p>
      <w:pPr>
        <w:pStyle w:val="Heading3"/>
      </w:pPr>
      <w:r>
        <w:t xml:space="preserve">3.4.1 Mô hình meta-analysis</w:t>
      </w:r>
    </w:p>
    <w:p>
      <w:pPr>
        <w:pStyle w:val="FirstParagraph"/>
      </w:pPr>
      <w:r>
        <w:t xml:space="preserve">Random-effects model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effect size của nghiên cứu</w:t>
      </w:r>
      <w:r>
        <w:t xml:space="preserve"> </w:t>
      </w:r>
      <m:oMath>
        <m:r>
          <m:t>i</m:t>
        </m:r>
      </m:oMath>
      <w:r>
        <w:t xml:space="preserve">. Pooled effect size tính theo inverse-variance weighting (Borenstein et al., 2009).</w:t>
      </w:r>
    </w:p>
    <w:p>
      <w:pPr>
        <w:pStyle w:val="BodyText"/>
      </w:pPr>
      <w:r>
        <w:t xml:space="preserve">Heterogeneity đo bằng</w:t>
      </w:r>
      <w:r>
        <w:t xml:space="preserve"> </w:t>
      </w:r>
      <m:oMath>
        <m:r>
          <m:t>Q</m:t>
        </m:r>
      </m:oMath>
      <w:r>
        <w:t xml:space="preserve">-test và</w:t>
      </w:r>
      <w:r>
        <w:t xml:space="preserve"> </w:t>
      </w:r>
      <m:oMath>
        <m:sSup>
          <m:e>
            <m:r>
              <m:t>I</m:t>
            </m:r>
          </m:e>
          <m:sup>
            <m:r>
              <m:t>2</m:t>
            </m:r>
          </m:sup>
        </m:sSup>
      </m:oMath>
      <w:r>
        <w:t xml:space="preserve"> </w:t>
      </w:r>
      <w:r>
        <w:t xml:space="preserve">(Higgins et al., 2003). Subgroup analysis và meta-regression để kiểm định moderators.</w:t>
      </w:r>
    </w:p>
    <w:p>
      <w:pPr>
        <w:pStyle w:val="BodyText"/>
      </w:pPr>
      <w:r>
        <w:rPr>
          <w:bCs/>
          <w:b/>
        </w:rPr>
        <w:t xml:space="preserve">Cơ sở kế thừa</w:t>
      </w:r>
      <w:r>
        <w:t xml:space="preserve">: chuẩn meta-analysis trong quản trị chiến lược (Combs et al., 2011; Aguinis et al., 2011).</w:t>
      </w:r>
    </w:p>
    <w:bookmarkEnd w:id="37"/>
    <w:bookmarkStart w:id="38" w:name="mô-hình-empirical-tuyến-tính-cơ-bản"/>
    <w:p>
      <w:pPr>
        <w:pStyle w:val="Heading3"/>
      </w:pPr>
      <w:r>
        <w:t xml:space="preserve">3.4.2 Mô hình empirical,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38"/>
    <w:bookmarkStart w:id="39"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inverted-U được xác nhận. Turning point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cubic theo specification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Do và Phan (2026g) cho cubic specification ở China với turning point ~47,8% FSTS.</w:t>
      </w:r>
    </w:p>
    <w:p>
      <w:pPr>
        <w:pStyle w:val="BodyText"/>
      </w:pPr>
      <w:r>
        <w:rPr>
          <w:bCs/>
          <w:b/>
        </w:rPr>
        <w:t xml:space="preserve">Lind–Mehlum U-test</w:t>
      </w:r>
      <w:r>
        <w:t xml:space="preserve"> </w:t>
      </w:r>
      <w:r>
        <w:t xml:space="preserve">(Lind &amp; Mehlum, 2010; Haans et al., 2016) để xác nhận chặt inverted-U: kiểm định slope dương ở bên trái và slope âm ở bên phải của domain</w:t>
      </w:r>
      <w:r>
        <w:t xml:space="preserve"> </w:t>
      </w:r>
      <m:oMath>
        <m:r>
          <m:t>F</m:t>
        </m:r>
        <m:r>
          <m:t>S</m:t>
        </m:r>
        <m:r>
          <m:t>T</m:t>
        </m:r>
        <m:r>
          <m:t>S</m:t>
        </m:r>
      </m:oMath>
      <w:r>
        <w:t xml:space="preserve">.</w:t>
      </w:r>
    </w:p>
    <w:bookmarkEnd w:id="39"/>
    <w:bookmarkStart w:id="42" w:name="mô-hình-moderation-h2h6"/>
    <w:p>
      <w:pPr>
        <w:pStyle w:val="Heading3"/>
      </w:pPr>
      <w:r>
        <w:t xml:space="preserve">3.4.4 Mô hình moderation (H2–H6)</w:t>
      </w:r>
    </w:p>
    <w:bookmarkStart w:id="40" w:name="two-way-interaction-h2-h3"/>
    <w:p>
      <w:pPr>
        <w:pStyle w:val="Heading4"/>
      </w:pPr>
      <w:r>
        <w:t xml:space="preserve">Two-way interaction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moderator (TCI hoặc DAI).</w:t>
      </w:r>
    </w:p>
    <w:bookmarkEnd w:id="40"/>
    <w:bookmarkStart w:id="41" w:name="three-way-interaction-synthesis"/>
    <w:p>
      <w:pPr>
        <w:pStyle w:val="Heading4"/>
      </w:pPr>
      <w:r>
        <w:t xml:space="preserve">Three-way interaction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moderation trong quản trị chiến lược (Aiken &amp; West, 1991; Dawson, 2014).</w:t>
      </w:r>
    </w:p>
    <w:p>
      <w:pPr>
        <w:pStyle w:val="BodyText"/>
      </w:pPr>
      <w:r>
        <w:rPr>
          <w:bCs/>
          <w:b/>
        </w:rPr>
        <w:t xml:space="preserve">Đóng góp mới</w:t>
      </w:r>
      <w:r>
        <w:t xml:space="preserve">: three-way moderation digital × institutional × manager trong bối cảnh châu Á và Pacific với 47 nước chưa được kiểm định trước đây.</w:t>
      </w:r>
    </w:p>
    <w:bookmarkEnd w:id="41"/>
    <w:bookmarkEnd w:id="42"/>
    <w:bookmarkStart w:id="43" w:name="mô-hình-temporal-heterogeneity-h6"/>
    <w:p>
      <w:pPr>
        <w:pStyle w:val="Heading3"/>
      </w:pPr>
      <w:r>
        <w:t xml:space="preserve">3.4.5 Mô hình temporal heterogeneity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twenty-year evolution; Xiao et al. (2013) với China-specific contingencies; Do và Phan (2026g) làm baseline cubic 2012.</w:t>
      </w:r>
    </w:p>
    <w:p>
      <w:pPr>
        <w:pStyle w:val="BodyText"/>
      </w:pPr>
      <w:r>
        <w:rPr>
          <w:bCs/>
          <w:b/>
        </w:rPr>
        <w:t xml:space="preserve">Đóng góp mới</w:t>
      </w:r>
      <w:r>
        <w:t xml:space="preserve">: áp dụng cho China 2012 và 2024 để kiểm định stability của cubic turning point (~47,8% FSTS) sau hơn một thập kỷ chuyển đổi số.</w:t>
      </w:r>
    </w:p>
    <w:bookmarkEnd w:id="43"/>
    <w:bookmarkStart w:id="44"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gộp pooled. Ký hiệu tiếng Việt:</w:t>
      </w:r>
    </w:p>
    <w:p>
      <w:pPr>
        <w:numPr>
          <w:ilvl w:val="0"/>
          <w:numId w:val="1003"/>
        </w:numPr>
        <w:pStyle w:val="Compact"/>
      </w:pPr>
      <w:r>
        <w:rPr>
          <w:bCs/>
          <w:b/>
        </w:rPr>
        <w:t xml:space="preserve">lnNSLD_it</w:t>
      </w:r>
      <w:r>
        <w:t xml:space="preserve"> </w:t>
      </w:r>
      <w:r>
        <w:t xml:space="preserve">= lnLP_it: log năng suất lao động (ln doanh thu PPP / lao động thường xuyên)</w:t>
      </w:r>
    </w:p>
    <w:p>
      <w:pPr>
        <w:numPr>
          <w:ilvl w:val="0"/>
          <w:numId w:val="1003"/>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3"/>
        </w:numPr>
        <w:pStyle w:val="Compact"/>
      </w:pPr>
      <w:r>
        <w:t xml:space="preserve">**C</w:t>
      </w:r>
      <m:oMath>
        <m:sSubSup>
          <m:e>
            <m:r>
              <m:rPr>
                <m:nor/>
                <m:sty m:val="p"/>
              </m:rPr>
              <m:t>DDXK</m:t>
            </m:r>
          </m:e>
          <m:sub>
            <m:r>
              <m:t>c</m:t>
            </m:r>
          </m:sub>
          <m:sup>
            <m:r>
              <m:t>2</m:t>
            </m:r>
          </m:sup>
        </m:sSubSup>
      </m:oMath>
      <w:r>
        <w:t xml:space="preserve">_it** =</w:t>
      </w:r>
      <w:r>
        <w:t xml:space="preserve"> </w:t>
      </w:r>
      <m:oMath>
        <m:sSubSup>
          <m:e>
            <m:r>
              <m:rPr>
                <m:nor/>
                <m:sty m:val="p"/>
              </m:rPr>
              <m:t>FSTS</m:t>
            </m:r>
          </m:e>
          <m:sub>
            <m:r>
              <m:t>c</m:t>
            </m:r>
          </m:sub>
          <m:sup>
            <m:r>
              <m:t>2</m:t>
            </m:r>
          </m:sup>
        </m:sSubSup>
      </m:oMath>
      <w:r>
        <w:t xml:space="preserve">_it: bình phương cường độ xuất khẩu điều chỉnh</w:t>
      </w:r>
    </w:p>
    <w:p>
      <w:pPr>
        <w:numPr>
          <w:ilvl w:val="0"/>
          <w:numId w:val="1003"/>
        </w:numPr>
        <w:pStyle w:val="Compact"/>
      </w:pPr>
      <w:r>
        <w:rPr>
          <w:bCs/>
          <w:b/>
        </w:rPr>
        <w:t xml:space="preserve">NLCN_z_it</w:t>
      </w:r>
      <w:r>
        <w:t xml:space="preserve"> </w:t>
      </w:r>
      <w:r>
        <w:t xml:space="preserve">= TCI_z_it: năng lực công nghệ (chuẩn hoá z trong sóng)</w:t>
      </w:r>
    </w:p>
    <w:p>
      <w:pPr>
        <w:numPr>
          <w:ilvl w:val="0"/>
          <w:numId w:val="1003"/>
        </w:numPr>
        <w:pStyle w:val="Compact"/>
      </w:pPr>
      <w:r>
        <w:rPr>
          <w:bCs/>
          <w:b/>
        </w:rPr>
        <w:t xml:space="preserve">CSS_z_it</w:t>
      </w:r>
      <w:r>
        <w:t xml:space="preserve"> </w:t>
      </w:r>
      <w:r>
        <w:t xml:space="preserve">= DAI_z_it: chỉ số số hoá cơ sở, Tier-1 (chuẩn hoá z trong sóng)</w:t>
      </w:r>
    </w:p>
    <w:p>
      <w:pPr>
        <w:numPr>
          <w:ilvl w:val="0"/>
          <w:numId w:val="1003"/>
        </w:numPr>
        <w:pStyle w:val="Compact"/>
      </w:pPr>
      <w:r>
        <w:rPr>
          <w:bCs/>
          <w:b/>
        </w:rPr>
        <w:t xml:space="preserve">lnLD, TuoiDN, SoHuuNuocNgoai</w:t>
      </w:r>
      <w:r>
        <w:t xml:space="preserve">: kiểm soát quy mô, tuổi, sở hữu</w:t>
      </w:r>
    </w:p>
    <w:p>
      <w:pPr>
        <w:numPr>
          <w:ilvl w:val="0"/>
          <w:numId w:val="1003"/>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inverted-U):</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Điều tiết CSS/DAI (H4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pooled.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(H4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44"/>
    <w:bookmarkStart w:id="45"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4"/>
        </w:numPr>
        <w:pStyle w:val="Compact"/>
      </w:pPr>
      <w:r>
        <w:rPr>
          <w:bCs/>
          <w:b/>
        </w:rPr>
        <w:t xml:space="preserve">lnNSLD_i</w:t>
      </w:r>
      <w:r>
        <w:t xml:space="preserve"> </w:t>
      </w:r>
      <w:r>
        <w:t xml:space="preserve">= lnLP_i: log năng suất lao động (ln doanh thu PPP / lao động thường xuyên)</w:t>
      </w:r>
    </w:p>
    <w:p>
      <w:pPr>
        <w:numPr>
          <w:ilvl w:val="0"/>
          <w:numId w:val="1004"/>
        </w:numPr>
        <w:pStyle w:val="Compact"/>
      </w:pPr>
      <w:r>
        <w:rPr>
          <w:bCs/>
          <w:b/>
        </w:rPr>
        <w:t xml:space="preserve">CDDXK_i</w:t>
      </w:r>
      <w:r>
        <w:t xml:space="preserve"> </w:t>
      </w:r>
      <w:r>
        <w:t xml:space="preserve">= FSTS_i: cường độ xuất khẩu trực tiếp (d3c / 100)</w:t>
      </w:r>
    </w:p>
    <w:p>
      <w:pPr>
        <w:numPr>
          <w:ilvl w:val="0"/>
          <w:numId w:val="1004"/>
        </w:numPr>
        <w:pStyle w:val="Compact"/>
      </w:pPr>
      <w:r>
        <w:rPr>
          <w:bCs/>
          <w:b/>
        </w:rPr>
        <w:t xml:space="preserve">CDDXK_c_i</w:t>
      </w:r>
      <w:r>
        <w:t xml:space="preserve"> </w:t>
      </w:r>
      <w:r>
        <w:t xml:space="preserve">= FSTS_c_i: CDDXK trung bình mẫu; C</w:t>
      </w:r>
      <m:oMath>
        <m:sSubSup>
          <m:e>
            <m:r>
              <m:rPr>
                <m:nor/>
                <m:sty m:val="p"/>
              </m:rPr>
              <m:t>DDXK</m:t>
            </m:r>
          </m:e>
          <m:sub>
            <m:r>
              <m:t>c</m:t>
            </m:r>
          </m:sub>
          <m:sup>
            <m:r>
              <m:t>2</m:t>
            </m:r>
          </m:sup>
        </m:sSubSup>
      </m:oMath>
      <w:r>
        <w:t xml:space="preserve"> </w:t>
      </w:r>
      <w:r>
        <w:t xml:space="preserve">là bình phương</w:t>
      </w:r>
    </w:p>
    <w:p>
      <w:pPr>
        <w:numPr>
          <w:ilvl w:val="0"/>
          <w:numId w:val="1004"/>
        </w:numPr>
        <w:pStyle w:val="Compact"/>
      </w:pPr>
      <w:r>
        <w:rPr>
          <w:bCs/>
          <w:b/>
        </w:rPr>
        <w:t xml:space="preserve">NLCN_z_i</w:t>
      </w:r>
      <w:r>
        <w:t xml:space="preserve"> </w:t>
      </w:r>
      <w:r>
        <w:t xml:space="preserve">= TCI_z_i: năng lực công nghệ, z-std của trung bình(b8₀₁, e6₀₁)</w:t>
      </w:r>
    </w:p>
    <w:p>
      <w:pPr>
        <w:numPr>
          <w:ilvl w:val="0"/>
          <w:numId w:val="1004"/>
        </w:numPr>
        <w:pStyle w:val="Compact"/>
      </w:pPr>
      <w:r>
        <w:rPr>
          <w:bCs/>
          <w:b/>
        </w:rPr>
        <w:t xml:space="preserve">CSS_z_i</w:t>
      </w:r>
      <w:r>
        <w:t xml:space="preserve"> </w:t>
      </w:r>
      <w:r>
        <w:t xml:space="preserve">= DAI_z_i: chỉ số số hoá</w:t>
      </w:r>
      <w:r>
        <w:t xml:space="preserve"> </w:t>
      </w:r>
      <w:r>
        <w:rPr>
          <w:bCs/>
          <w:b/>
        </w:rPr>
        <w:t xml:space="preserve">Tier-1+2</w:t>
      </w:r>
      <w:r>
        <w:t xml:space="preserve">, z-std của trung bình(c22b₀₁, k33₀₁, k38₀₁); khác P3 ở chỗ bao gồm e-payment hai chiều (Tier-2)</w:t>
      </w:r>
    </w:p>
    <w:p>
      <w:pPr>
        <w:numPr>
          <w:ilvl w:val="0"/>
          <w:numId w:val="1004"/>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4"/>
        </w:numPr>
        <w:pStyle w:val="Compact"/>
      </w:pPr>
      <w:r>
        <w:rPr>
          <w:bCs/>
          <w:b/>
        </w:rPr>
        <w:t xml:space="preserve">δ_s</w:t>
      </w:r>
      <w:r>
        <w:t xml:space="preserve">: sector fixed effects (ISIC 1-chữ số)</w:t>
      </w:r>
    </w:p>
    <w:p>
      <w:pPr>
        <w:numPr>
          <w:ilvl w:val="0"/>
          <w:numId w:val="1004"/>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w:t>
      </w:r>
      <w:r>
        <w:t xml:space="preserve"> </w:t>
      </w:r>
      <m:oMath>
        <m:sSub>
          <m:e>
            <m:r>
              <m:t>β</m:t>
            </m:r>
          </m:e>
          <m:sub>
            <m:r>
              <m:t>1</m:t>
            </m:r>
          </m:sub>
        </m:sSub>
      </m:oMath>
      <w:r>
        <w:t xml:space="preserve"> </w:t>
      </w:r>
      <w:r>
        <w:t xml:space="preserve">CDDXK_c_i + γ·X_i + δ_s + ε_i</w:t>
      </w:r>
    </w:p>
    <w:p>
      <w:pPr>
        <w:pStyle w:val="BlockText"/>
      </w:pPr>
      <w:r>
        <w:t xml:space="preserve">M2 (Bậc hai FSTS, kiểm định H1):</w:t>
      </w:r>
      <w:r>
        <w:t xml:space="preserve"> </w:t>
      </w:r>
      <w:r>
        <w:t xml:space="preserve">lnNSLD_i = α +</w:t>
      </w:r>
      <w:r>
        <w:t xml:space="preserve"> </w:t>
      </w:r>
      <m:oMath>
        <m:sSub>
          <m:e>
            <m:r>
              <m:t>β</m:t>
            </m:r>
          </m:e>
          <m:sub>
            <m:r>
              <m:t>1</m:t>
            </m:r>
          </m:sub>
        </m:sSub>
      </m:oMath>
      <w:r>
        <w:t xml:space="preserve"> </w:t>
      </w:r>
      <w:r>
        <w:t xml:space="preserve">CDDXK_c_i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_i + γ·X_i + δ_s + ε_i</w:t>
      </w:r>
      <w:r>
        <w:t xml:space="preserve"> </w:t>
      </w:r>
      <w:r>
        <w:t xml:space="preserve">H1:</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TP* = −</w:t>
      </w:r>
      <m:oMath>
        <m:sSub>
          <m:e>
            <m:r>
              <m:t>β</m:t>
            </m:r>
          </m:e>
          <m:sub>
            <m:r>
              <m:t>1</m:t>
            </m:r>
          </m:sub>
        </m:sSub>
      </m:oMath>
      <w:r>
        <w:t xml:space="preserve">/(2</w:t>
      </w:r>
      <m:oMath>
        <m:sSub>
          <m:e>
            <m:r>
              <m:t>β</m:t>
            </m:r>
          </m:e>
          <m:sub>
            <m:r>
              <m:t>2</m:t>
            </m:r>
          </m:sub>
        </m:sSub>
      </m:oMath>
      <w:r>
        <w:t xml:space="preserve">)</w:t>
      </w:r>
      <w:r>
        <w:t xml:space="preserve"> </w:t>
      </w:r>
      <m:oMath>
        <m:r>
          <m:rPr>
            <m:sty m:val="p"/>
          </m:rPr>
          <m:t>≈</m:t>
        </m:r>
      </m:oMath>
      <w:r>
        <w:t xml:space="preserve"> </w:t>
      </w:r>
      <w:r>
        <w:t xml:space="preserve">88,6%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 γ·X + δ_s + ε</w:t>
      </w:r>
    </w:p>
    <w:p>
      <w:pPr>
        <w:pStyle w:val="BlockText"/>
      </w:pPr>
      <w:r>
        <w:t xml:space="preserve">M4 (+ CSS trực tiếp):</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 + γ·X + δ_s + ε</w:t>
      </w:r>
    </w:p>
    <w:p>
      <w:pPr>
        <w:pStyle w:val="BlockText"/>
      </w:pPr>
      <w:r>
        <w:t xml:space="preserve">M5 (Mô hình đầy đủ, kiểm định H3):</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w:t>
      </w:r>
      <w:r>
        <w:t xml:space="preserve"> </w:t>
      </w:r>
      <w:r>
        <w:t xml:space="preserve">+</w:t>
      </w:r>
      <w:r>
        <w:t xml:space="preserve"> </w:t>
      </w:r>
      <m:oMath>
        <m:sSub>
          <m:e>
            <m:r>
              <m:t>β</m:t>
            </m:r>
          </m:e>
          <m:sub>
            <m:r>
              <m:t>5</m:t>
            </m:r>
          </m:sub>
        </m:sSub>
      </m:oMath>
      <w:r>
        <w:t xml:space="preserve">(CDDXK_c × CSS_z) +</w:t>
      </w:r>
      <w:r>
        <w:t xml:space="preserve"> </w:t>
      </w:r>
      <m:oMath>
        <m:sSub>
          <m:e>
            <m:r>
              <m:t>β</m:t>
            </m:r>
          </m:e>
          <m:sub>
            <m:r>
              <m:t>6</m:t>
            </m:r>
          </m:sub>
        </m:sSub>
      </m:oMath>
      <w:r>
        <w:t xml:space="preserve">(C</w:t>
      </w:r>
      <m:oMath>
        <m:sSubSup>
          <m:e>
            <m:r>
              <m:rPr>
                <m:nor/>
                <m:sty m:val="p"/>
              </m:rPr>
              <m:t>DDXK</m:t>
            </m:r>
          </m:e>
          <m:sub>
            <m:r>
              <m:t>c</m:t>
            </m:r>
          </m:sub>
          <m:sup>
            <m:r>
              <m:t>2</m:t>
            </m:r>
          </m:sup>
        </m:sSubSup>
      </m:oMath>
      <w:r>
        <w:t xml:space="preserve"> </w:t>
      </w:r>
      <w:r>
        <w:t xml:space="preserve">× CSS_z) + γ·X + δ_s + ε</w:t>
      </w:r>
      <w:r>
        <w:t xml:space="preserve"> </w:t>
      </w:r>
      <w:r>
        <w:t xml:space="preserve">H3:</w:t>
      </w:r>
      <w:r>
        <w:t xml:space="preserve"> </w:t>
      </w:r>
      <m:oMath>
        <m:sSub>
          <m:e>
            <m:r>
              <m:t>β</m:t>
            </m:r>
          </m:e>
          <m:sub>
            <m:r>
              <m:t>6</m:t>
            </m:r>
          </m:sub>
        </m:sSub>
      </m:oMath>
      <w:r>
        <w:t xml:space="preserve"> </w:t>
      </w:r>
      <w:r>
        <w:t xml:space="preserve">&gt; 0, DAI khuếch đại lợi nhuận I–P ở cường độ xuất khẩu cao (coordination platform mechanism; Stallkamp &amp; Schotter, 2021)</w:t>
      </w:r>
      <w:r>
        <w:t xml:space="preserve"> </w:t>
      </w:r>
      <w:r>
        <w:t xml:space="preserve">Kết quả:</w:t>
      </w:r>
      <w:r>
        <w:t xml:space="preserve"> </w:t>
      </w:r>
      <m:oMath>
        <m:sSub>
          <m:e>
            <m:r>
              <m:t>β</m:t>
            </m:r>
          </m:e>
          <m:sub>
            <m:r>
              <m:t>6</m:t>
            </m:r>
          </m:sub>
        </m:sSub>
      </m:oMath>
      <w:r>
        <w:t xml:space="preserve"> </w:t>
      </w:r>
      <w:r>
        <w:t xml:space="preserve">= +3,119 (p = 0,005) trong mẫu đầy đủ;</w:t>
      </w:r>
      <w:r>
        <w:t xml:space="preserve"> </w:t>
      </w:r>
      <m:oMath>
        <m:sSub>
          <m:e>
            <m:r>
              <m:t>β</m:t>
            </m:r>
          </m:e>
          <m:sub>
            <m:r>
              <m:t>6</m:t>
            </m:r>
          </m:sub>
        </m:sSub>
      </m:oMath>
      <w:r>
        <w:t xml:space="preserve"> </w:t>
      </w:r>
      <w:r>
        <w:t xml:space="preserve">= +2,821 (p = 0,003, F-test) trong mẫu chỉ xuất khẩu (N = 84, lưu ý: công suất thống kê</w:t>
      </w:r>
      <w:r>
        <w:t xml:space="preserve"> </w:t>
      </w:r>
      <m:oMath>
        <m:r>
          <m:rPr>
            <m:sty m:val="p"/>
          </m:rPr>
          <m:t>≈</m:t>
        </m:r>
      </m:oMath>
      <w:r>
        <w:t xml:space="preserve"> </w:t>
      </w:r>
      <w:r>
        <w:t xml:space="preserve">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45"/>
    <w:bookmarkStart w:id="46"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05"/>
        </w:numPr>
        <w:pStyle w:val="Compact"/>
      </w:pPr>
      <w:r>
        <w:rPr>
          <w:bCs/>
          <w:b/>
        </w:rPr>
        <w:t xml:space="preserve">lnNSLD_it</w:t>
      </w:r>
      <w:r>
        <w:t xml:space="preserve"> </w:t>
      </w:r>
      <w:r>
        <w:t xml:space="preserve">= lnLP_it: log năng suất lao động (biến phụ thuộc)</w:t>
      </w:r>
    </w:p>
    <w:p>
      <w:pPr>
        <w:numPr>
          <w:ilvl w:val="0"/>
          <w:numId w:val="1005"/>
        </w:numPr>
        <w:pStyle w:val="Compact"/>
      </w:pPr>
      <w:r>
        <w:rPr>
          <w:bCs/>
          <w:b/>
        </w:rPr>
        <w:t xml:space="preserve">CDDXK_c_it</w:t>
      </w:r>
      <w:r>
        <w:t xml:space="preserve"> </w:t>
      </w:r>
      <w:r>
        <w:t xml:space="preserve">= FSTS_c_it: cường độ xuất khẩu centred theo trung bình sóng</w:t>
      </w:r>
    </w:p>
    <w:p>
      <w:pPr>
        <w:numPr>
          <w:ilvl w:val="0"/>
          <w:numId w:val="1005"/>
        </w:numPr>
        <w:pStyle w:val="Compact"/>
      </w:pPr>
      <w:r>
        <w:rPr>
          <w:bCs/>
          <w:b/>
        </w:rPr>
        <w:t xml:space="preserve">NLCN_z_it</w:t>
      </w:r>
      <w:r>
        <w:t xml:space="preserve"> </w:t>
      </w:r>
      <w:r>
        <w:t xml:space="preserve">= TCI_full_z_it: năng lực công nghệ toàn diện, z-std của TB(b8₀₁, e6₀₁, b4₀₁, b7a₀₁); mở rộng hơn P3</w:t>
      </w:r>
    </w:p>
    <w:p>
      <w:pPr>
        <w:numPr>
          <w:ilvl w:val="0"/>
          <w:numId w:val="1005"/>
        </w:numPr>
        <w:pStyle w:val="Compact"/>
      </w:pPr>
      <w:r>
        <w:rPr>
          <w:bCs/>
          <w:b/>
        </w:rPr>
        <w:t xml:space="preserve">CSS_z_it</w:t>
      </w:r>
      <w:r>
        <w:t xml:space="preserve"> </w:t>
      </w:r>
      <w:r>
        <w:t xml:space="preserve">= DAI_core_it: chỉ số số hoá cơ bản, chỉ c22b₀₁ (Tier-1 mỏng, single-item binary)</w:t>
      </w:r>
    </w:p>
    <w:p>
      <w:pPr>
        <w:numPr>
          <w:ilvl w:val="0"/>
          <w:numId w:val="1005"/>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5"/>
        </w:numPr>
        <w:pStyle w:val="Compact"/>
      </w:pPr>
      <w:r>
        <w:rPr>
          <w:bCs/>
          <w:b/>
        </w:rPr>
        <w:t xml:space="preserve">δ_s</w:t>
      </w:r>
      <w:r>
        <w:t xml:space="preserve">: sector fixed effects;</w:t>
      </w:r>
      <w:r>
        <w:t xml:space="preserve"> </w:t>
      </w:r>
      <w:r>
        <w:rPr>
          <w:bCs/>
          <w:b/>
        </w:rPr>
        <w:t xml:space="preserve">λ_t</w:t>
      </w:r>
      <w:r>
        <w:t xml:space="preserve">: wave fixed effects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w:t>
      </w:r>
      <w:r>
        <w:t xml:space="preserve"> </w:t>
      </w:r>
      <m:oMath>
        <m:sSub>
          <m:e>
            <m:r>
              <m:t>β</m:t>
            </m:r>
          </m:e>
          <m:sub>
            <m:r>
              <m:t>1</m:t>
            </m:r>
          </m:sub>
        </m:sSub>
      </m:oMath>
      <w:r>
        <w:t xml:space="preserve"> </w:t>
      </w:r>
      <w:r>
        <w:t xml:space="preserve">CDDXK_c_it + γ·X_it + δ_s + λ_t + ε_it</w:t>
      </w:r>
    </w:p>
    <w:p>
      <w:pPr>
        <w:pStyle w:val="BlockText"/>
      </w:pPr>
      <w:r>
        <w:t xml:space="preserve">M2 (Bậc hai FSTS, kiểm định H1):</w:t>
      </w:r>
      <w:r>
        <w:t xml:space="preserve"> </w:t>
      </w:r>
      <w:r>
        <w:t xml:space="preserve">lnNSLD_it = α +</w:t>
      </w:r>
      <w:r>
        <w:t xml:space="preserve"> </w:t>
      </w:r>
      <m:oMath>
        <m:sSub>
          <m:e>
            <m:r>
              <m:t>β</m:t>
            </m:r>
          </m:e>
          <m:sub>
            <m:r>
              <m:t>1</m:t>
            </m:r>
          </m:sub>
        </m:sSub>
      </m:oMath>
      <w:r>
        <w:t xml:space="preserve"> </w:t>
      </w:r>
      <w:r>
        <w:t xml:space="preserve">CDDXK_c_it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_it + γ·X_it + δ_s + λ_t + ε_it</w:t>
      </w:r>
      <w:r>
        <w:t xml:space="preserve"> </w:t>
      </w:r>
      <w:r>
        <w:t xml:space="preserve">H1:</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TP* = −</w:t>
      </w:r>
      <m:oMath>
        <m:sSub>
          <m:e>
            <m:r>
              <m:t>β</m:t>
            </m:r>
          </m:e>
          <m:sub>
            <m:r>
              <m:t>1</m:t>
            </m:r>
          </m:sub>
        </m:sSub>
      </m:oMath>
      <w:r>
        <w:t xml:space="preserve">/(2</w:t>
      </w:r>
      <m:oMath>
        <m:sSub>
          <m:e>
            <m:r>
              <m:t>β</m:t>
            </m:r>
          </m:e>
          <m:sub>
            <m:r>
              <m:t>2</m:t>
            </m:r>
          </m:sub>
        </m:sSub>
      </m:oMath>
      <w:r>
        <w:t xml:space="preserve">), điểm uốn 49,4% (2012), 47,2% (2024), và 48,8% (pooled)</w:t>
      </w:r>
      <w:r>
        <w:t xml:space="preserve"> </w:t>
      </w:r>
      <w:r>
        <w:t xml:space="preserve">Kiểm định ổn định cấu trúc: Paternoster (1998) z-test: z(FSTS) = +0,82 (p = 0,412); z(</w:t>
      </w:r>
      <m:oMath>
        <m:sSup>
          <m:e>
            <m:r>
              <m:rPr>
                <m:nor/>
                <m:sty m:val="p"/>
              </m:rPr>
              <m:t>FSTS</m:t>
            </m:r>
          </m:e>
          <m:sup>
            <m:r>
              <m:t>2</m:t>
            </m:r>
          </m:sup>
        </m:sSup>
      </m:oMath>
      <w:r>
        <w:t xml:space="preserve">) = −0,61 (p = 0,545), không bác bỏ bình đẳng hệ số giữa hai sóng</w:t>
      </w:r>
    </w:p>
    <w:p>
      <w:pPr>
        <w:pStyle w:val="BlockText"/>
      </w:pPr>
      <w:r>
        <w:t xml:space="preserve">M3 (+ NLCN trực tiếp, H2 level-shift):</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 γ·X + δ_s + λ_t + ε</w:t>
      </w:r>
      <w:r>
        <w:t xml:space="preserve"> </w:t>
      </w:r>
      <w:r>
        <w:t xml:space="preserve">Kết quả:</w:t>
      </w:r>
      <w:r>
        <w:t xml:space="preserve"> </w:t>
      </w:r>
      <m:oMath>
        <m:sSub>
          <m:e>
            <m:r>
              <m:t>β</m:t>
            </m:r>
          </m:e>
          <m:sub>
            <m:r>
              <m:t>3</m:t>
            </m:r>
          </m:sub>
        </m:sSub>
      </m:oMath>
      <w:r>
        <w:t xml:space="preserve"> </w:t>
      </w:r>
      <w:r>
        <w:t xml:space="preserve">= +0,28 (2012, p &lt; 0,001), +0,43 (2024, p &lt; 0,001),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 + γ·X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r>
                      <m:t>1</m:t>
                    </m:r>
                    <m:r>
                      <m:rPr>
                        <m:sty m:val="p"/>
                      </m:rPr>
                      <m:t>,</m:t>
                    </m:r>
                    <m:r>
                      <m:t>2012</m:t>
                    </m:r>
                  </m:sub>
                  <m:sup>
                    <m:r>
                      <m:t>2</m:t>
                    </m:r>
                  </m:sup>
                </m:sSubSup>
                <m:r>
                  <m:rPr>
                    <m:sty m:val="p"/>
                  </m:rPr>
                  <m:t>+</m:t>
                </m:r>
                <m:r>
                  <m:t>S</m:t>
                </m:r>
                <m:sSubSup>
                  <m:e>
                    <m:r>
                      <m:t>E</m:t>
                    </m:r>
                  </m:e>
                  <m:sub>
                    <m:r>
                      <m:t>1</m:t>
                    </m:r>
                    <m:r>
                      <m:rPr>
                        <m:sty m:val="p"/>
                      </m:rPr>
                      <m:t>,</m:t>
                    </m:r>
                    <m:r>
                      <m:t>2024</m:t>
                    </m:r>
                  </m:sub>
                  <m:sup>
                    <m:r>
                      <m:t>2</m:t>
                    </m:r>
                  </m:sup>
                </m:sSubSup>
              </m:e>
            </m:rad>
          </m:den>
        </m:f>
      </m:oMath>
      <w:r>
        <w:t xml:space="preserve"> </w:t>
      </w:r>
      <w:r>
        <w:t xml:space="preserve">(Paternoster et al., 1998), tương tự cho</w:t>
      </w:r>
      <w:r>
        <w:t xml:space="preserve"> </w:t>
      </w:r>
      <m:oMath>
        <m:sSub>
          <m:e>
            <m:r>
              <m:t>β</m:t>
            </m:r>
          </m:e>
          <m:sub>
            <m:r>
              <m:t>2</m:t>
            </m:r>
          </m:sub>
        </m:sSub>
      </m:oMath>
      <w:r>
        <w:t xml:space="preserve"> </w:t>
      </w:r>
      <w:r>
        <w:t xml:space="preserve">(</w:t>
      </w:r>
      <m:oMath>
        <m:sSup>
          <m:e>
            <m:r>
              <m:rPr>
                <m:nor/>
                <m:sty m:val="p"/>
              </m:rPr>
              <m:t>FSTS</m:t>
            </m:r>
          </m:e>
          <m:sup>
            <m:r>
              <m:t>2</m:t>
            </m:r>
          </m:sup>
        </m:sSup>
      </m:oMath>
      <w:r>
        <w:t xml:space="preserve">)</w:t>
      </w:r>
    </w:p>
    <w:p>
      <w:pPr>
        <w:pStyle w:val="BlockText"/>
      </w:pPr>
      <w:r>
        <w:t xml:space="preserve">M6 (Điều tiết ba chiều, kiểm định H3/H4a/H4b):</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w:t>
      </w:r>
      <w:r>
        <w:t xml:space="preserve"> </w:t>
      </w:r>
      <w:r>
        <w:t xml:space="preserve">+</w:t>
      </w:r>
      <w:r>
        <w:t xml:space="preserve"> </w:t>
      </w:r>
      <m:oMath>
        <m:sSub>
          <m:e>
            <m:r>
              <m:t>β</m:t>
            </m:r>
          </m:e>
          <m:sub>
            <m:r>
              <m:t>5</m:t>
            </m:r>
          </m:sub>
        </m:sSub>
      </m:oMath>
      <w:r>
        <w:t xml:space="preserve">(CDDXK_c × NLCN_z) +</w:t>
      </w:r>
      <w:r>
        <w:t xml:space="preserve"> </w:t>
      </w:r>
      <m:oMath>
        <m:sSub>
          <m:e>
            <m:r>
              <m:t>β</m:t>
            </m:r>
          </m:e>
          <m:sub>
            <m:r>
              <m:t>6</m:t>
            </m:r>
          </m:sub>
        </m:sSub>
      </m:oMath>
      <w:r>
        <w:t xml:space="preserve">(C</w:t>
      </w:r>
      <m:oMath>
        <m:sSubSup>
          <m:e>
            <m:r>
              <m:rPr>
                <m:nor/>
                <m:sty m:val="p"/>
              </m:rPr>
              <m:t>DDXK</m:t>
            </m:r>
          </m:e>
          <m:sub>
            <m:r>
              <m:t>c</m:t>
            </m:r>
          </m:sub>
          <m:sup>
            <m:r>
              <m:t>2</m:t>
            </m:r>
          </m:sup>
        </m:sSubSup>
      </m:oMath>
      <w:r>
        <w:t xml:space="preserve"> </w:t>
      </w:r>
      <w:r>
        <w:t xml:space="preserve">× NLCN_z)</w:t>
      </w:r>
      <w:r>
        <w:t xml:space="preserve"> </w:t>
      </w:r>
      <w:r>
        <w:t xml:space="preserve">+</w:t>
      </w:r>
      <w:r>
        <w:t xml:space="preserve"> </w:t>
      </w:r>
      <m:oMath>
        <m:sSub>
          <m:e>
            <m:r>
              <m:t>β</m:t>
            </m:r>
          </m:e>
          <m:sub>
            <m:r>
              <m:t>7</m:t>
            </m:r>
          </m:sub>
        </m:sSub>
      </m:oMath>
      <w:r>
        <w:t xml:space="preserve">(CDDXK_c × wave) +</w:t>
      </w:r>
      <w:r>
        <w:t xml:space="preserve"> </w:t>
      </w:r>
      <m:oMath>
        <m:sSub>
          <m:e>
            <m:r>
              <m:t>β</m:t>
            </m:r>
          </m:e>
          <m:sub>
            <m:r>
              <m:t>8</m:t>
            </m:r>
          </m:sub>
        </m:sSub>
      </m:oMath>
      <w:r>
        <w:t xml:space="preserve">(C</w:t>
      </w:r>
      <m:oMath>
        <m:sSubSup>
          <m:e>
            <m:r>
              <m:rPr>
                <m:nor/>
                <m:sty m:val="p"/>
              </m:rPr>
              <m:t>DDXK</m:t>
            </m:r>
          </m:e>
          <m:sub>
            <m:r>
              <m:t>c</m:t>
            </m:r>
          </m:sub>
          <m:sup>
            <m:r>
              <m:t>2</m:t>
            </m:r>
          </m:sup>
        </m:sSubSup>
      </m:oMath>
      <w:r>
        <w:t xml:space="preserve"> </w:t>
      </w:r>
      <w:r>
        <w:t xml:space="preserve">×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H4b (null capability-curvature moderation)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b4, b7a</w:t>
            </w:r>
          </w:p>
        </w:tc>
        <w:tc>
          <w:tcPr/>
          <w:p>
            <w:pPr>
              <w:pStyle w:val="Compact"/>
              <w:jc w:val="left"/>
            </w:pPr>
            <w:r>
              <w:t xml:space="preserve">z-std của TB(b8₀₁, e6₀₁, b4₀₁, b7a₀₁),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Tier-1 đơn biến</w:t>
            </w:r>
            <w:r>
              <w:t xml:space="preserve"> </w:t>
            </w:r>
            <w:r>
              <w:t xml:space="preserve">(binary)</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sector</w:t>
            </w:r>
          </w:p>
        </w:tc>
        <w:tc>
          <w:tcPr/>
          <w:p>
            <w:pPr>
              <w:pStyle w:val="Compact"/>
              <w:jc w:val="left"/>
            </w:pPr>
            <w:r>
              <w:t xml:space="preserve">Sector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 (2012/2024)</w:t>
            </w:r>
          </w:p>
        </w:tc>
        <w:tc>
          <w:tcPr/>
          <w:p>
            <w:pPr>
              <w:pStyle w:val="Compact"/>
              <w:jc w:val="left"/>
            </w:pPr>
            <w:r>
              <w:t xml:space="preserve">Wave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Tier-1 đơn biến, không đủ để kiểm định CDCM; hàm ý chính sách và lý thuyết khác với P4 Singapore (Tier-1+2).</w:t>
      </w:r>
    </w:p>
    <w:p>
      <w:r>
        <w:pict>
          <v:rect style="width:0;height:1.5pt" o:hralign="center" o:hrstd="t" o:hr="t"/>
        </w:pict>
      </w:r>
    </w:p>
    <w:bookmarkEnd w:id="46"/>
    <w:bookmarkStart w:id="48" w:name="Xef1ee77b66ccd9962e55365d60bd74be93a9b17"/>
    <w:p>
      <w:pPr>
        <w:pStyle w:val="Heading3"/>
      </w:pPr>
      <w:r>
        <w:t xml:space="preserve">3.4.5.4 Mô hình cụ thể,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49 nền kinh tế châu Á và Thái Bình Dương</w:t>
      </w:r>
      <w:r>
        <w:t xml:space="preserve"> </w:t>
      </w:r>
      <w:r>
        <w:t xml:space="preserve">(102 cặp quốc gia × năm, 2003–2025). Mẫu phân tích toàn phần đạt N = 84.910 (M0–M2) đến N = 29.840 (M11 full). Thiết kế hierarchical OLS với HC1 robust standard errors, clustered theo country-year. Ký hiệu tiếng Việt:</w:t>
      </w:r>
    </w:p>
    <w:p>
      <w:pPr>
        <w:numPr>
          <w:ilvl w:val="0"/>
          <w:numId w:val="1006"/>
        </w:numPr>
        <w:pStyle w:val="Compact"/>
      </w:pPr>
      <w:r>
        <w:rPr>
          <w:bCs/>
          <w:b/>
        </w:rPr>
        <w:t xml:space="preserve">lnNSLD_it</w:t>
      </w:r>
      <w:r>
        <w:t xml:space="preserve">: ln(năng suất lao động) = ln(doanh thu / lao động thường trực), biến phụ thuộc</w:t>
      </w:r>
    </w:p>
    <w:p>
      <w:pPr>
        <w:numPr>
          <w:ilvl w:val="0"/>
          <w:numId w:val="1006"/>
        </w:numPr>
        <w:pStyle w:val="Compact"/>
      </w:pPr>
      <w:r>
        <w:rPr>
          <w:bCs/>
          <w:b/>
        </w:rPr>
        <w:t xml:space="preserve">CDDXK_c_it</w:t>
      </w:r>
      <w:r>
        <w:t xml:space="preserve">: cường độ xuất khẩu mean-centred, FSTS_c = (d3c/100) − mean_pool(FSTS)</w:t>
      </w:r>
    </w:p>
    <w:p>
      <w:pPr>
        <w:numPr>
          <w:ilvl w:val="0"/>
          <w:numId w:val="1006"/>
        </w:numPr>
        <w:pStyle w:val="Compact"/>
      </w:pPr>
      <w:r>
        <w:t xml:space="preserve">**C</w:t>
      </w:r>
      <m:oMath>
        <m:sSubSup>
          <m:e>
            <m:r>
              <m:rPr>
                <m:nor/>
                <m:sty m:val="p"/>
              </m:rPr>
              <m:t>DDXK</m:t>
            </m:r>
          </m:e>
          <m:sub>
            <m:r>
              <m:t>c</m:t>
            </m:r>
          </m:sub>
          <m:sup>
            <m:r>
              <m:t>2</m:t>
            </m:r>
          </m:sup>
        </m:sSubSup>
      </m:oMath>
      <w:r>
        <w:t xml:space="preserve">_it**: CDDXK_c bình phương, kiểm định phi tuyến</w:t>
      </w:r>
    </w:p>
    <w:p>
      <w:pPr>
        <w:numPr>
          <w:ilvl w:val="0"/>
          <w:numId w:val="1006"/>
        </w:numPr>
        <w:pStyle w:val="Compact"/>
      </w:pPr>
      <w:r>
        <w:rPr>
          <w:bCs/>
          <w:b/>
        </w:rPr>
        <w:t xml:space="preserve">NLCN_z_it</w:t>
      </w:r>
      <w:r>
        <w:t xml:space="preserve">: năng lực công nghệ z-standardised, TCI_z = z-std(b8, e6)</w:t>
      </w:r>
    </w:p>
    <w:p>
      <w:pPr>
        <w:numPr>
          <w:ilvl w:val="0"/>
          <w:numId w:val="1006"/>
        </w:numPr>
        <w:pStyle w:val="Compact"/>
      </w:pPr>
      <w:r>
        <w:rPr>
          <w:bCs/>
          <w:b/>
        </w:rPr>
        <w:t xml:space="preserve">CSS_z_it</w:t>
      </w:r>
      <w:r>
        <w:t xml:space="preserve">: chỉ số số hoá z-standardised, DAI_z = z-std(website + e-pay, Tier 1+2: c22b/e1, k33)</w:t>
      </w:r>
    </w:p>
    <w:p>
      <w:pPr>
        <w:numPr>
          <w:ilvl w:val="0"/>
          <w:numId w:val="1006"/>
        </w:numPr>
        <w:pStyle w:val="Compact"/>
      </w:pPr>
      <w:r>
        <w:rPr>
          <w:bCs/>
          <w:b/>
        </w:rPr>
        <w:t xml:space="preserve">KNQLy_it</w:t>
      </w:r>
      <w:r>
        <w:t xml:space="preserve">: kinh nghiệm nhà quản lý trong ngành (năm, b7)</w:t>
      </w:r>
    </w:p>
    <w:p>
      <w:pPr>
        <w:numPr>
          <w:ilvl w:val="0"/>
          <w:numId w:val="1006"/>
        </w:numPr>
        <w:pStyle w:val="Compact"/>
      </w:pPr>
      <w:r>
        <w:rPr>
          <w:bCs/>
          <w:b/>
        </w:rPr>
        <w:t xml:space="preserve">NQL_nu_it</w:t>
      </w:r>
      <w:r>
        <w:t xml:space="preserve">: top manager là nữ (binary, b7a/b6a)</w:t>
      </w:r>
    </w:p>
    <w:p>
      <w:pPr>
        <w:numPr>
          <w:ilvl w:val="0"/>
          <w:numId w:val="1006"/>
        </w:numPr>
        <w:pStyle w:val="Compact"/>
      </w:pPr>
      <w:r>
        <w:rPr>
          <w:bCs/>
          <w:b/>
        </w:rPr>
        <w:t xml:space="preserve">ICRV_j</w:t>
      </w:r>
      <w:r>
        <w:t xml:space="preserve">: phân loại chế độ thể chế ICRV (integer 1–6, Advanced đến SIDS)</w:t>
      </w:r>
    </w:p>
    <w:p>
      <w:pPr>
        <w:numPr>
          <w:ilvl w:val="0"/>
          <w:numId w:val="1006"/>
        </w:numPr>
        <w:pStyle w:val="Compact"/>
      </w:pPr>
      <w:r>
        <w:rPr>
          <w:bCs/>
          <w:b/>
        </w:rPr>
        <w:t xml:space="preserve">lnLD_it</w:t>
      </w:r>
      <w:r>
        <w:t xml:space="preserve">: ln(lao động thường trực), kiểm soát quy mô doanh nghiệp</w:t>
      </w:r>
    </w:p>
    <w:p>
      <w:pPr>
        <w:numPr>
          <w:ilvl w:val="0"/>
          <w:numId w:val="1006"/>
        </w:numPr>
        <w:pStyle w:val="Compact"/>
      </w:pPr>
      <w:r>
        <w:rPr>
          <w:bCs/>
          <w:b/>
        </w:rPr>
        <w:t xml:space="preserve">TuoiDN_it</w:t>
      </w:r>
      <w:r>
        <w:t xml:space="preserve">: tuổi doanh nghiệp (năm_khảo_sát − b5)</w:t>
      </w:r>
    </w:p>
    <w:p>
      <w:pPr>
        <w:numPr>
          <w:ilvl w:val="0"/>
          <w:numId w:val="1006"/>
        </w:numPr>
        <w:pStyle w:val="Compact"/>
      </w:pPr>
      <w:r>
        <w:rPr>
          <w:bCs/>
          <w:b/>
        </w:rPr>
        <w:t xml:space="preserve">SoHuuNN_it</w:t>
      </w:r>
      <w:r>
        <w:t xml:space="preserve">: tỷ lệ sở hữu nước ngoài (b6a/100)</w:t>
      </w:r>
    </w:p>
    <w:p>
      <w:pPr>
        <w:numPr>
          <w:ilvl w:val="0"/>
          <w:numId w:val="1006"/>
        </w:numPr>
        <w:pStyle w:val="Compact"/>
      </w:pPr>
      <w:r>
        <w:rPr>
          <w:bCs/>
          <w:b/>
        </w:rPr>
        <w:t xml:space="preserve">δ_ct</w:t>
      </w:r>
      <w:r>
        <w:t xml:space="preserve">: country × year fixed effects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T</m:t>
          </m:r>
          <m:r>
            <m:t>P</m:t>
          </m:r>
          <m:r>
            <m:rPr>
              <m:sty m:val="p"/>
            </m:rPr>
            <m:t>≈</m:t>
          </m:r>
          <m:r>
            <m:t>36</m:t>
          </m:r>
          <m:r>
            <m:rPr>
              <m:sty m:val="p"/>
            </m:rPr>
            <m:t>%</m:t>
          </m:r>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sSup>
            <m:e>
              <m:r>
                <m:rPr>
                  <m:nor/>
                  <m:sty m:val="p"/>
                </m:rPr>
                <m:t>AdjR</m:t>
              </m:r>
            </m:e>
            <m:sup>
              <m:r>
                <m:t>2</m:t>
              </m:r>
            </m:sup>
          </m:sSup>
          <m:r>
            <m:rPr>
              <m:sty m:val="p"/>
            </m:rPr>
            <m:t>=</m:t>
          </m:r>
          <m:r>
            <m:rPr>
              <m:sty m:val="p"/>
            </m:rPr>
            <m:t>,</m:t>
          </m:r>
          <m:r>
            <m:t>677</m:t>
          </m:r>
          <m:r>
            <m:rPr>
              <m:sty m:val="p"/>
            </m:rPr>
            <m:t>;</m:t>
          </m:r>
          <m:r>
            <m:t> </m:t>
          </m:r>
          <m:r>
            <m:t>T</m:t>
          </m:r>
          <m:r>
            <m:t>P</m:t>
          </m:r>
          <m:r>
            <m:rPr>
              <m:sty m:val="p"/>
            </m:rPr>
            <m:t>≈</m:t>
          </m:r>
          <m:r>
            <m:t>40</m:t>
          </m:r>
          <m:r>
            <m:rPr>
              <m:sty m:val="p"/>
            </m:rPr>
            <m:t>%</m:t>
          </m:r>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&lt;</m:t>
          </m:r>
          <m:r>
            <m:t>0</m:t>
          </m:r>
          <m:r>
            <m:t> </m:t>
          </m:r>
          <m:d>
            <m:dPr>
              <m:begChr m:val="("/>
              <m:endChr m:val=")"/>
              <m:sepChr m:val=""/>
              <m:grow/>
            </m:dPr>
            <m:e>
              <m:r>
                <m:t>p</m:t>
              </m:r>
              <m:r>
                <m:rPr>
                  <m:sty m:val="p"/>
                </m:rPr>
                <m:t>&lt;</m:t>
              </m:r>
              <m:r>
                <m:rPr>
                  <m:sty m:val="p"/>
                </m:rPr>
                <m:t>,</m:t>
              </m:r>
              <m:r>
                <m:t>001</m:t>
              </m:r>
            </m:e>
          </m:d>
          <m:r>
            <m:rPr>
              <m:sty m:val="p"/>
            </m:rPr>
            <m:t>;</m:t>
          </m:r>
          <m:r>
            <m:t> </m:t>
          </m:r>
          <m:sSub>
            <m:e>
              <m:acc>
                <m:accPr>
                  <m:chr m:val="̂"/>
                </m:accPr>
                <m:e>
                  <m:r>
                    <m:t>β</m:t>
                  </m:r>
                </m:e>
              </m:acc>
            </m:e>
            <m:sub>
              <m:r>
                <m:t>8</m:t>
              </m:r>
            </m:sub>
          </m:sSub>
          <m:r>
            <m:rPr>
              <m:sty m:val="p"/>
            </m:rPr>
            <m:t>&gt;</m:t>
          </m:r>
          <m:r>
            <m:t>0</m:t>
          </m:r>
          <m:r>
            <m:t> </m:t>
          </m:r>
          <m:d>
            <m:dPr>
              <m:begChr m:val="("/>
              <m:endChr m:val=")"/>
              <m:sepChr m:val=""/>
              <m:grow/>
            </m:dPr>
            <m:e>
              <m:r>
                <m:t>p</m:t>
              </m:r>
              <m:r>
                <m:rPr>
                  <m:sty m:val="p"/>
                </m:rPr>
                <m:t>&lt;</m:t>
              </m:r>
              <m:r>
                <m:rPr>
                  <m:sty m:val="p"/>
                </m:rPr>
                <m:t>,</m:t>
              </m:r>
              <m:r>
                <m:t>01</m:t>
              </m:r>
            </m:e>
          </m:d>
          <m:r>
            <m:rPr>
              <m:sty m:val="p"/>
            </m:rPr>
            <m:t>→</m:t>
          </m:r>
          <m:r>
            <m:rPr>
              <m:nor/>
              <m:sty m:val="p"/>
            </m:rPr>
            <m:t>DAI nén sườn tăng, giảm nhẹ sườn giảm</m:t>
          </m:r>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185</m:t>
              </m:r>
            </m:e>
            <m:sup>
              <m:r>
                <m:rPr>
                  <m:sty m:val="p"/>
                </m:rPr>
                <m:t>*</m:t>
              </m:r>
              <m:r>
                <m:rPr>
                  <m:sty m:val="p"/>
                </m:rPr>
                <m:t>*</m:t>
              </m:r>
              <m:r>
                <m:rPr>
                  <m:sty m:val="p"/>
                </m:rPr>
                <m:t>*</m:t>
              </m:r>
            </m:sup>
          </m:sSup>
          <m:r>
            <m:rPr>
              <m:nor/>
              <m:sty m:val="p"/>
            </m:rPr>
            <m:t> (top manager nữ: lợi thế hiệu quả  17–20%cross-context)</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m:t>
          </m:r>
          <m:r>
            <m:t>T</m:t>
          </m:r>
          <m:r>
            <m:t>P</m:t>
          </m:r>
          <m:r>
            <m:rPr>
              <m:nor/>
              <m:sty m:val="p"/>
            </m:rPr>
            <m:t> tăng khi ICRV tăng (thể chế yếu hơn): Group I</m:t>
          </m:r>
          <m:r>
            <m:rPr>
              <m:sty m:val="p"/>
            </m:rPr>
            <m:t>≈</m:t>
          </m:r>
          <m:r>
            <m:t>28</m:t>
          </m:r>
          <m:r>
            <m:rPr>
              <m:sty m:val="p"/>
            </m:rPr>
            <m:t>%</m:t>
          </m:r>
          <m:r>
            <m:rPr>
              <m:sty m:val="p"/>
            </m:rPr>
            <m:t>,</m:t>
          </m:r>
          <m:r>
            <m:t> </m:t>
          </m:r>
          <m:r>
            <m:rPr>
              <m:nor/>
              <m:sty m:val="p"/>
            </m:rPr>
            <m:t>Group V–VI</m:t>
          </m:r>
          <m:r>
            <m:rPr>
              <m:sty m:val="p"/>
            </m:rPr>
            <m:t>≈</m:t>
          </m:r>
          <m:r>
            <m:t>55</m:t>
          </m:r>
          <m:r>
            <m:rPr>
              <m:sty m:val="p"/>
            </m:rPr>
            <m:t>%</m:t>
          </m:r>
        </m:oMath>
      </m:oMathPara>
    </w:p>
    <w:p>
      <w:pPr>
        <w:pStyle w:val="FirstParagraph"/>
      </w:pPr>
      <w:r>
        <w:rPr>
          <w:bCs/>
          <w:b/>
        </w:rPr>
        <w:t xml:space="preserve">M11</w:t>
      </w:r>
      <w:r>
        <w:t xml:space="preserve"> </w:t>
      </w:r>
      <w:r>
        <w:t xml:space="preserve">(full three-way, kiểm định H7-P7):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DAI</m:t>
          </m:r>
          <m:r>
            <m:rPr>
              <m:sty m:val="p"/>
            </m:rPr>
            <m:t>×</m:t>
          </m:r>
          <m:r>
            <m:rPr>
              <m:nor/>
              <m:sty m:val="p"/>
            </m:rPr>
            <m:t>ICRV: </m:t>
          </m:r>
          <m:r>
            <m:t>p</m:t>
          </m:r>
          <m:r>
            <m:rPr>
              <m:sty m:val="p"/>
            </m:rPr>
            <m:t>=</m:t>
          </m:r>
          <m:r>
            <m:rPr>
              <m:sty m:val="p"/>
            </m:rPr>
            <m:t>,</m:t>
          </m:r>
          <m:sSup>
            <m:e>
              <m:r>
                <m:t>012</m:t>
              </m:r>
            </m:e>
            <m:sup>
              <m:r>
                <m:rPr>
                  <m:sty m:val="p"/>
                </m:rPr>
                <m:t>*</m:t>
              </m:r>
            </m:sup>
          </m:sSup>
          <m:r>
            <m:rPr>
              <m:sty m:val="p"/>
            </m:rPr>
            <m:t>;</m:t>
          </m:r>
          <m:r>
            <m:t> </m:t>
          </m:r>
          <m:r>
            <m:rPr>
              <m:nor/>
              <m:sty m:val="p"/>
            </m:rPr>
            <m:t>three-way NS</m:t>
          </m:r>
          <m:r>
            <m:rPr>
              <m:sty m:val="p"/>
            </m:rPr>
            <m:t>;</m:t>
          </m:r>
          <m:r>
            <m:t> </m:t>
          </m:r>
          <m:r>
            <m:t>T</m:t>
          </m:r>
          <m:r>
            <m:t>P</m:t>
          </m:r>
          <m:r>
            <m:rPr>
              <m:sty m:val="p"/>
            </m:rPr>
            <m:t>=</m:t>
          </m:r>
          <m:r>
            <m:t>34</m:t>
          </m:r>
          <m:r>
            <m:rPr>
              <m:sty m:val="p"/>
            </m:rPr>
            <m:t>,</m:t>
          </m:r>
          <m:r>
            <m:t>6</m:t>
          </m:r>
          <m:r>
            <m:rPr>
              <m:sty m:val="p"/>
            </m:rPr>
            <m:t>%</m:t>
          </m:r>
          <m:r>
            <m:rPr>
              <m:sty m:val="p"/>
            </m:rPr>
            <m:t>,</m:t>
          </m:r>
          <m:r>
            <m:t> </m:t>
          </m:r>
          <m:r>
            <m:rPr>
              <m:nor/>
              <m:sty m:val="p"/>
            </m:rPr>
            <m:t>LM </m:t>
          </m:r>
          <m:r>
            <m:t>p</m:t>
          </m:r>
          <m:r>
            <m:rPr>
              <m:sty m:val="p"/>
            </m:rPr>
            <m:t>=</m:t>
          </m:r>
          <m:r>
            <m:rPr>
              <m:sty m:val="p"/>
            </m:rPr>
            <m:t>,</m:t>
          </m:r>
          <m:r>
            <m:t>002</m:t>
          </m:r>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e-payment):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(Advanced Innovation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w:t>
            </w:r>
          </w:p>
        </w:tc>
        <w:tc>
          <w:tcPr/>
          <w:p>
            <w:pPr>
              <w:pStyle w:val="Compact"/>
              <w:jc w:val="left"/>
            </w:pPr>
            <w:r>
              <w:t xml:space="preserve">country × year FE</w:t>
            </w:r>
          </w:p>
        </w:tc>
        <w:tc>
          <w:tcPr/>
          <w:p>
            <w:pPr>
              <w:pStyle w:val="Compact"/>
              <w:jc w:val="left"/>
            </w:pPr>
            <w:r>
              <w:t xml:space="preserve">Fixed effects</w:t>
            </w:r>
          </w:p>
        </w:tc>
      </w:tr>
    </w:tbl>
    <w:p>
      <w:pPr>
        <w:pStyle w:val="BodyText"/>
      </w:pPr>
      <w:r>
        <w:rPr>
          <w:iCs/>
          <w:i/>
        </w:rPr>
        <w:t xml:space="preserve">Ghi chú: Mẫu phân tích giảm dần từ N = 84.910 (M2), 38.342 (M3, thêm kiểm soát), 29.840 (M11, thêm manager + ICRV + three-way). DAI P7 là Tier 1+2 khi k33 có mặt, Tier-1 only khi thiếu, khác với P3 Vietnam (Tier-1 only) và đồng nhất với P4 Singapore (Tier-1+2). ICRV là biến điều tiết liên tục (integer), không phải dummies, nhằm giữ N đủ lớn trong M10–M11.</w:t>
      </w:r>
    </w:p>
    <w:p>
      <w:r>
        <w:pict>
          <v:rect style="width:0;height:1.5pt" o:hralign="center" o:hrstd="t" o:hr="t"/>
        </w:pict>
      </w:r>
    </w:p>
    <w:bookmarkStart w:id="47" w:name="X643505249b2e6f03115a2b099a8243c676fb8cd"/>
    <w:p>
      <w:pPr>
        <w:pStyle w:val="Heading4"/>
      </w:pPr>
      <w:r>
        <w:t xml:space="preserve">3.4.5.5 Mô hình cụ thể, Nghiên cứu 8: Pacific SIDS (N = 1.469, Nhóm VI)</w:t>
      </w:r>
    </w:p>
    <w:p>
      <w:pPr>
        <w:pStyle w:val="FirstParagraph"/>
      </w:pPr>
      <w:r>
        <w:t xml:space="preserve">Nghiên cứu 8 phân tích mẫu gồm</w:t>
      </w:r>
      <w:r>
        <w:t xml:space="preserve"> </w:t>
      </w:r>
      <w:r>
        <w:rPr>
          <w:bCs/>
          <w:b/>
        </w:rPr>
        <w:t xml:space="preserve">N = 1.469 doanh nghiệp</w:t>
      </w:r>
      <w:r>
        <w:t xml:space="preserve"> </w:t>
      </w:r>
      <w:r>
        <w:t xml:space="preserve">tại</w:t>
      </w:r>
      <w:r>
        <w:t xml:space="preserve"> </w:t>
      </w:r>
      <w:r>
        <w:rPr>
          <w:bCs/>
          <w:b/>
        </w:rPr>
        <w:t xml:space="preserve">9 nền kinh tế Pacific SIDS</w:t>
      </w:r>
      <w:r>
        <w:t xml:space="preserve"> </w:t>
      </w:r>
      <w:r>
        <w:t xml:space="preserve">(Fiji, Kiribati, Papua New Guinea, Samoa, Solomon Islands, Timor-Leste, Tonga, Vanuatu, Comoros)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187 doanh nghiệp có hoạt động xuất khẩu</w:t>
      </w:r>
      <w:r>
        <w:t xml:space="preserve"> </w:t>
      </w:r>
      <w:r>
        <w:t xml:space="preserve">(12,7%),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 ,10), xác nhận không có điểm quay.</w:t>
      </w:r>
    </w:p>
    <w:p>
      <w:pPr>
        <w:pStyle w:val="BodyText"/>
      </w:pPr>
      <w:r>
        <w:rPr>
          <w:bCs/>
          <w:b/>
        </w:rPr>
        <w:t xml:space="preserve">Ký hiệu biến (đối chiếu tiếng Việt và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binary):</w:t>
            </w:r>
            <w:r>
              <w:t xml:space="preserve"> </w:t>
            </w:r>
            <w:r>
              <w:rPr>
                <w:bCs/>
                <w:b/>
              </w:rPr>
              <w:t xml:space="preserve">chỉ Tier-1,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fixed effects</w:t>
            </w:r>
          </w:p>
        </w:tc>
        <w:tc>
          <w:tcPr/>
          <w:p>
            <w:pPr>
              <w:pStyle w:val="Compact"/>
              <w:jc w:val="left"/>
            </w:pPr>
            <w:r>
              <w:t xml:space="preserve">a3b</w:t>
            </w:r>
          </w:p>
        </w:tc>
        <w:tc>
          <w:tcPr/>
          <w:p>
            <w:pPr>
              <w:pStyle w:val="Compact"/>
              <w:jc w:val="left"/>
            </w:pPr>
            <w:r>
              <w:t xml:space="preserve">dummy theo quốc gia</w:t>
            </w:r>
          </w:p>
        </w:tc>
      </w:tr>
      <w:tr>
        <w:tc>
          <w:tcPr/>
          <w:p>
            <w:pPr>
              <w:pStyle w:val="Compact"/>
              <w:jc w:val="left"/>
            </w:pPr>
            <w:r>
              <w:t xml:space="preserve">λ_t</w:t>
            </w:r>
          </w:p>
        </w:tc>
        <w:tc>
          <w:tcPr/>
          <w:p>
            <w:pPr>
              <w:pStyle w:val="Compact"/>
              <w:jc w:val="left"/>
            </w:pPr>
            <w:r>
              <w:t xml:space="preserve">Wave fixed effects</w:t>
            </w:r>
          </w:p>
        </w:tc>
        <w:tc>
          <w:tcPr/>
          <w:p>
            <w:pPr>
              <w:pStyle w:val="Compact"/>
              <w:jc w:val="left"/>
            </w:pPr>
            <w:r>
              <w:t xml:space="preserve">wave</w:t>
            </w:r>
          </w:p>
        </w:tc>
        <w:tc>
          <w:tcPr/>
          <w:p>
            <w:pPr>
              <w:pStyle w:val="Compact"/>
              <w:jc w:val="left"/>
            </w:pPr>
            <w:r>
              <w:t xml:space="preserve">dummy theo sóng điều tra</w:t>
            </w:r>
          </w:p>
        </w:tc>
      </w:tr>
    </w:tbl>
    <w:p>
      <w:pPr>
        <w:pStyle w:val="BodyText"/>
      </w:pPr>
      <w:r>
        <w:rPr>
          <w:iCs/>
          <w:i/>
        </w:rPr>
        <w:t xml:space="preserve">Ghi chú: CSS_z (DAI) là proxy tĩnh Tier-1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Baseline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0</m:t>
          </m:r>
          <m:r>
            <m:rPr>
              <m:sty m:val="p"/>
            </m:rPr>
            <m:t>,</m:t>
          </m:r>
          <m:r>
            <m:t>404</m:t>
          </m:r>
          <m:r>
            <m:rPr>
              <m:sty m:val="p"/>
            </m:rPr>
            <m:t>,</m:t>
          </m:r>
          <m:r>
            <m:t> </m:t>
          </m:r>
          <m:r>
            <m:t>p</m:t>
          </m:r>
          <m:r>
            <m:rPr>
              <m:sty m:val="p"/>
            </m:rPr>
            <m:t>=</m:t>
          </m:r>
          <m:r>
            <m:rPr>
              <m:sty m:val="p"/>
            </m:rPr>
            <m:t>,</m:t>
          </m:r>
          <m:r>
            <m:t>032</m:t>
          </m:r>
          <m:r>
            <m:t> </m:t>
          </m:r>
          <m:d>
            <m:dPr>
              <m:begChr m:val="("/>
              <m:endChr m:val=")"/>
              <m:sepChr m:val=""/>
              <m:grow/>
            </m:dPr>
            <m:e>
              <m:r>
                <m:rPr>
                  <m:nor/>
                  <m:sty m:val="p"/>
                </m:rPr>
                <m:t>country+year FE, N</m:t>
              </m:r>
              <m:r>
                <m:rPr>
                  <m:sty m:val="p"/>
                </m:rPr>
                <m:t>=</m:t>
              </m:r>
              <m:r>
                <m:t>1</m:t>
              </m:r>
              <m:r>
                <m:rPr>
                  <m:sty m:val="p"/>
                </m:rPr>
                <m:t>.</m:t>
              </m:r>
              <m:r>
                <m:t>469</m:t>
              </m:r>
            </m:e>
          </m:d>
          <m:r>
            <m:rPr>
              <m:sty m:val="p"/>
            </m:rPr>
            <m:t>⇒</m:t>
          </m:r>
          <m:r>
            <m:rPr>
              <m:nor/>
              <m:sty m:val="b"/>
            </m:rPr>
            <m:t>FIP xác nhận</m:t>
          </m:r>
        </m:oMath>
      </m:oMathPara>
    </w:p>
    <w:p>
      <w:pPr>
        <w:pStyle w:val="FirstParagraph"/>
      </w:pPr>
      <w:r>
        <w:t xml:space="preserve">M2, Kiểm định phi tuyến: thêm C</w:t>
      </w:r>
      <m:oMath>
        <m:sSubSup>
          <m:e>
            <m:r>
              <m:rPr>
                <m:nor/>
                <m:sty m:val="p"/>
              </m:rPr>
              <m:t>DDXK</m:t>
            </m:r>
          </m:e>
          <m:sub>
            <m:r>
              <m:t>c</m:t>
            </m:r>
          </m:sub>
          <m:sup>
            <m:r>
              <m:t>2</m:t>
            </m:r>
          </m:sup>
        </m:sSubSup>
      </m:oMath>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495</m:t>
          </m:r>
          <m:r>
            <m:t> </m:t>
          </m:r>
          <m:r>
            <m:rPr>
              <m:nor/>
              <m:sty m:val="p"/>
            </m:rPr>
            <m:t>NS</m:t>
          </m:r>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402</m:t>
          </m:r>
          <m:r>
            <m:t> </m:t>
          </m:r>
          <m:r>
            <m:rPr>
              <m:nor/>
              <m:sty m:val="p"/>
            </m:rPr>
            <m:t>NS</m:t>
          </m:r>
          <m:r>
            <m:rPr>
              <m:sty m:val="p"/>
            </m:rPr>
            <m:t>⇒</m:t>
          </m:r>
          <m:r>
            <m:rPr>
              <m:nor/>
              <m:sty m:val="p"/>
            </m:rPr>
            <m:t>H2 bị bác bỏ tại Nhóm VI</m:t>
          </m:r>
        </m:oMath>
      </m:oMathPara>
    </w:p>
    <w:p>
      <w:pPr>
        <w:pStyle w:val="FirstParagraph"/>
      </w:pPr>
      <w:r>
        <w:rPr>
          <w:bCs/>
          <w:b/>
        </w:rPr>
        <w:t xml:space="preserve">Phân tích độ vững (robustness checks):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Specification</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1.469)</w:t>
            </w:r>
          </w:p>
        </w:tc>
        <w:tc>
          <w:tcPr/>
          <w:p>
            <w:pPr>
              <w:pStyle w:val="Compact"/>
              <w:jc w:val="left"/>
            </w:pPr>
            <w:r>
              <w:t xml:space="preserve">−0,404</w:t>
            </w:r>
          </w:p>
        </w:tc>
        <w:tc>
          <w:tcPr/>
          <w:p>
            <w:pPr>
              <w:pStyle w:val="Compact"/>
              <w:jc w:val="left"/>
            </w:pPr>
            <w:r>
              <w:t xml:space="preserve">,</w:t>
            </w:r>
          </w:p>
        </w:tc>
        <w:tc>
          <w:tcPr/>
          <w:p>
            <w:pPr>
              <w:pStyle w:val="Compact"/>
              <w:jc w:val="left"/>
            </w:pPr>
            <w:r>
              <w:t xml:space="preserve">,032</w:t>
            </w:r>
          </w:p>
        </w:tc>
      </w:tr>
      <w:tr>
        <w:tc>
          <w:tcPr/>
          <w:p>
            <w:pPr>
              <w:pStyle w:val="Compact"/>
              <w:jc w:val="left"/>
            </w:pPr>
            <w:r>
              <w:t xml:space="preserve">Year FE only (không country FE)</w:t>
            </w:r>
          </w:p>
        </w:tc>
        <w:tc>
          <w:tcPr/>
          <w:p>
            <w:pPr>
              <w:pStyle w:val="Compact"/>
              <w:jc w:val="left"/>
            </w:pPr>
            <w:r>
              <w:t xml:space="preserve">−1,236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Bivariate (không controls)</w:t>
            </w:r>
          </w:p>
        </w:tc>
        <w:tc>
          <w:tcPr/>
          <w:p>
            <w:pPr>
              <w:pStyle w:val="Compact"/>
              <w:jc w:val="left"/>
            </w:pPr>
            <w:r>
              <w:t xml:space="preserve">−1,596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Exporters-only (N = 187)</w:t>
            </w:r>
          </w:p>
        </w:tc>
        <w:tc>
          <w:tcPr/>
          <w:p>
            <w:pPr>
              <w:pStyle w:val="Compact"/>
              <w:jc w:val="left"/>
            </w:pPr>
            <w:r>
              <w:t xml:space="preserve">−0,901</w:t>
            </w:r>
          </w:p>
        </w:tc>
        <w:tc>
          <w:tcPr/>
          <w:p>
            <w:pPr>
              <w:pStyle w:val="Compact"/>
              <w:jc w:val="left"/>
            </w:pPr>
            <w:r>
              <w:t xml:space="preserve">,</w:t>
            </w:r>
          </w:p>
        </w:tc>
        <w:tc>
          <w:tcPr/>
          <w:p>
            <w:pPr>
              <w:pStyle w:val="Compact"/>
              <w:jc w:val="left"/>
            </w:pPr>
            <w:r>
              <w:t xml:space="preserve">,027</w:t>
            </w:r>
          </w:p>
        </w:tc>
      </w:tr>
    </w:tbl>
    <w:p>
      <w:pPr>
        <w:pStyle w:val="BodyText"/>
      </w:pPr>
      <w:r>
        <w:rPr>
          <w:iCs/>
          <w:i/>
        </w:rPr>
        <w:t xml:space="preserve">Hệ số âm nhất quán qua 4 specification xác nhận FIP không phải do selection bias hay outlier.</w:t>
      </w:r>
    </w:p>
    <w:p>
      <w:pPr>
        <w:pStyle w:val="BodyText"/>
      </w:pPr>
      <w:r>
        <w:rPr>
          <w:bCs/>
          <w:b/>
        </w:rPr>
        <w:t xml:space="preserve">Bảng định nghĩa biến, Nghiên cứu 8 (Pacific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binary): Tier-1 only</w:t>
            </w:r>
          </w:p>
        </w:tc>
        <w:tc>
          <w:tcPr/>
          <w:p>
            <w:pPr>
              <w:pStyle w:val="Compact"/>
              <w:jc w:val="left"/>
            </w:pPr>
            <w:r>
              <w:t xml:space="preserve">Số hoá,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FE</w:t>
            </w:r>
          </w:p>
        </w:tc>
        <w:tc>
          <w:tcPr/>
          <w:p>
            <w:pPr>
              <w:pStyle w:val="Compact"/>
              <w:jc w:val="left"/>
            </w:pPr>
            <w:r>
              <w:t xml:space="preserve">Fixed effects</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WBES không thu thập thang đo đầy đủ cho số hoá động tại SIDS.</w:t>
      </w:r>
    </w:p>
    <w:p>
      <w:r>
        <w:pict>
          <v:rect style="width:0;height:1.5pt" o:hralign="center" o:hrstd="t" o:hr="t"/>
        </w:pict>
      </w:r>
    </w:p>
    <w:bookmarkEnd w:id="47"/>
    <w:bookmarkEnd w:id="48"/>
    <w:bookmarkStart w:id="49" w:name="sai-số-chuẩn"/>
    <w:p>
      <w:pPr>
        <w:pStyle w:val="Heading3"/>
      </w:pPr>
      <w:r>
        <w:t xml:space="preserve">3.4.6 Sai số chuẩn</w:t>
      </w:r>
    </w:p>
    <w:p>
      <w:pPr>
        <w:pStyle w:val="FirstParagraph"/>
      </w:pPr>
      <w:r>
        <w:t xml:space="preserve">Tất cả các mô hình đều sử dụng HC1/HC3 robust standard errors (Long &amp; Ervin, 2000; White, 1980) để xử lý heteroscedasticity. Đối với multi-country, bổ sung clustered SE theo country.</w:t>
      </w:r>
    </w:p>
    <w:bookmarkEnd w:id="49"/>
    <w:bookmarkEnd w:id="50"/>
    <w:bookmarkStart w:id="56" w:name="kiểm-định-độ-vững"/>
    <w:p>
      <w:pPr>
        <w:pStyle w:val="Heading2"/>
      </w:pPr>
      <w:r>
        <w:t xml:space="preserve">3.5 Kiểm định độ vững</w:t>
      </w:r>
    </w:p>
    <w:bookmarkStart w:id="51" w:name="thay-đổi-thước-đo"/>
    <w:p>
      <w:pPr>
        <w:pStyle w:val="Heading3"/>
      </w:pPr>
      <w:r>
        <w:t xml:space="preserve">3.5.1 Thay đổi thước đo</w:t>
      </w:r>
    </w:p>
    <w:p>
      <w:pPr>
        <w:numPr>
          <w:ilvl w:val="0"/>
          <w:numId w:val="1007"/>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sales growth, employment growth.</w:t>
      </w:r>
    </w:p>
    <w:p>
      <w:pPr>
        <w:numPr>
          <w:ilvl w:val="0"/>
          <w:numId w:val="1007"/>
        </w:numPr>
        <w:pStyle w:val="Compact"/>
      </w:pPr>
      <w:r>
        <w:t xml:space="preserve">Biến độc lập: thay FSTS bằng export status (binary), foreign sales count.</w:t>
      </w:r>
    </w:p>
    <w:p>
      <w:pPr>
        <w:numPr>
          <w:ilvl w:val="0"/>
          <w:numId w:val="1007"/>
        </w:numPr>
        <w:pStyle w:val="Compact"/>
      </w:pPr>
      <w:r>
        <w:t xml:space="preserve">Biến moderator: thay DAI_thin bằng DAI_rich (cho subset 2024+).</w:t>
      </w:r>
    </w:p>
    <w:bookmarkEnd w:id="51"/>
    <w:bookmarkStart w:id="52" w:name="mẫu-phụ"/>
    <w:p>
      <w:pPr>
        <w:pStyle w:val="Heading3"/>
      </w:pPr>
      <w:r>
        <w:t xml:space="preserve">3.5.2 Mẫu phụ</w:t>
      </w:r>
    </w:p>
    <w:p>
      <w:pPr>
        <w:pStyle w:val="FirstParagraph"/>
      </w:pPr>
      <w:r>
        <w:t xml:space="preserve">Loại trừ micro firms (&lt;5 lao động); chỉ giữ SMEs; chỉ giữ manufacturing; chỉ giữ exporters (FSTS &gt; 0); subgroup theo 6 sub-regime ICRV.</w:t>
      </w:r>
    </w:p>
    <w:bookmarkEnd w:id="52"/>
    <w:bookmarkStart w:id="53" w:name="outliers"/>
    <w:p>
      <w:pPr>
        <w:pStyle w:val="Heading3"/>
      </w:pPr>
      <w:r>
        <w:t xml:space="preserve">3.5.3 Outliers</w:t>
      </w:r>
    </w:p>
    <w:p>
      <w:pPr>
        <w:pStyle w:val="FirstParagraph"/>
      </w:pPr>
      <w:r>
        <w:t xml:space="preserve">Winsorization 1% và 5% đối với labor productivity và employment, áp dụng trong từng country-year.</w:t>
      </w:r>
    </w:p>
    <w:bookmarkEnd w:id="53"/>
    <w:bookmarkStart w:id="54" w:name="multicollinearity-và-heteroscedasticity"/>
    <w:p>
      <w:pPr>
        <w:pStyle w:val="Heading3"/>
      </w:pPr>
      <w:r>
        <w:t xml:space="preserve">3.5.4 Multicollinearity và heteroscedasticity</w:t>
      </w:r>
    </w:p>
    <w:p>
      <w:pPr>
        <w:numPr>
          <w:ilvl w:val="0"/>
          <w:numId w:val="1008"/>
        </w:numPr>
        <w:pStyle w:val="Compact"/>
      </w:pPr>
      <w:r>
        <w:t xml:space="preserve">VIF cho tất cả mô hình; ngưỡng VIF &lt; 5 (Hair et al., 2019).</w:t>
      </w:r>
    </w:p>
    <w:p>
      <w:pPr>
        <w:numPr>
          <w:ilvl w:val="0"/>
          <w:numId w:val="1008"/>
        </w:numPr>
        <w:pStyle w:val="Compact"/>
      </w:pPr>
      <w:r>
        <w:t xml:space="preserve">Breusch–Pagan test (Breusch &amp; Pagan, 1979).</w:t>
      </w:r>
    </w:p>
    <w:bookmarkEnd w:id="54"/>
    <w:bookmarkStart w:id="55" w:name="sensitivity-analysis-cho-meta-analysis"/>
    <w:p>
      <w:pPr>
        <w:pStyle w:val="Heading3"/>
      </w:pPr>
      <w:r>
        <w:t xml:space="preserve">3.5.5 Sensitivity analysis cho meta-analysis</w:t>
      </w:r>
    </w:p>
    <w:p>
      <w:pPr>
        <w:numPr>
          <w:ilvl w:val="0"/>
          <w:numId w:val="1009"/>
        </w:numPr>
        <w:pStyle w:val="Compact"/>
      </w:pPr>
      <w:r>
        <w:t xml:space="preserve">Leave-one-out: loại từng nghiên cứu và tái tính pooled effect.</w:t>
      </w:r>
    </w:p>
    <w:p>
      <w:pPr>
        <w:numPr>
          <w:ilvl w:val="0"/>
          <w:numId w:val="1009"/>
        </w:numPr>
        <w:pStyle w:val="Compact"/>
      </w:pPr>
      <w:r>
        <w:t xml:space="preserve">Trim-and-fill (Duval &amp; Tweedie, 2000) cho publication bias.</w:t>
      </w:r>
    </w:p>
    <w:bookmarkEnd w:id="55"/>
    <w:bookmarkEnd w:id="56"/>
    <w:bookmarkStart w:id="57"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Mixed design</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47 châu Á + Pacific economies</w:t>
            </w:r>
            <w:r>
              <w:t xml:space="preserve"> </w:t>
            </w:r>
            <w:r>
              <w:t xml:space="preserve">trong một luận án</w:t>
            </w:r>
          </w:p>
        </w:tc>
      </w:tr>
      <w:tr>
        <w:tc>
          <w:tcPr/>
          <w:p>
            <w:pPr>
              <w:pStyle w:val="Compact"/>
              <w:jc w:val="left"/>
            </w:pPr>
            <w:r>
              <w:t xml:space="preserve">Meta-analysis 1982–2026</w:t>
            </w:r>
          </w:p>
        </w:tc>
        <w:tc>
          <w:tcPr/>
          <w:p>
            <w:pPr>
              <w:pStyle w:val="Compact"/>
              <w:jc w:val="left"/>
            </w:pPr>
            <w:r>
              <w:t xml:space="preserve">Bausch &amp; Krist (2007); Kirca et al. (2012); Marano et al. (2016)</w:t>
            </w:r>
          </w:p>
        </w:tc>
        <w:tc>
          <w:tcPr/>
          <w:p>
            <w:pPr>
              <w:pStyle w:val="Compact"/>
              <w:jc w:val="left"/>
            </w:pPr>
            <w:r>
              <w:t xml:space="preserve">Mở rộng coverage, bổ sung digital và 6 sub-regime ICRV moderators</w:t>
            </w:r>
          </w:p>
        </w:tc>
      </w:tr>
      <w:tr>
        <w:tc>
          <w:tcPr/>
          <w:p>
            <w:pPr>
              <w:pStyle w:val="Compact"/>
              <w:jc w:val="left"/>
            </w:pPr>
            <w:r>
              <w:t xml:space="preserve">Pool empirical</w:t>
            </w:r>
          </w:p>
        </w:tc>
        <w:tc>
          <w:tcPr/>
          <w:p>
            <w:pPr>
              <w:pStyle w:val="Compact"/>
              <w:jc w:val="left"/>
            </w:pPr>
            <w:r>
              <w:t xml:space="preserve">Do &amp; Phan (2026a), 17 nước châu Á mới nổi</w:t>
            </w:r>
          </w:p>
        </w:tc>
        <w:tc>
          <w:tcPr/>
          <w:p>
            <w:pPr>
              <w:pStyle w:val="Compact"/>
              <w:jc w:val="left"/>
            </w:pPr>
            <w:r>
              <w:t xml:space="preserve">Mở rộng từ 17 lên</w:t>
            </w:r>
            <w:r>
              <w:t xml:space="preserve"> </w:t>
            </w:r>
            <w:r>
              <w:rPr>
                <w:bCs/>
                <w:b/>
              </w:rPr>
              <w:t xml:space="preserve">47 nước</w:t>
            </w:r>
            <w:r>
              <w:t xml:space="preserve"> </w:t>
            </w:r>
            <w:r>
              <w:t xml:space="preserve">với 101.185 doanh nghiệp · 108 cặp quốc gia × năm</w:t>
            </w:r>
          </w:p>
        </w:tc>
      </w:tr>
      <w:tr>
        <w:tc>
          <w:tcPr/>
          <w:p>
            <w:pPr>
              <w:pStyle w:val="Compact"/>
              <w:jc w:val="left"/>
            </w:pPr>
            <w:r>
              <w:t xml:space="preserve">Labor productivity DV</w:t>
            </w:r>
          </w:p>
        </w:tc>
        <w:tc>
          <w:tcPr/>
          <w:p>
            <w:pPr>
              <w:pStyle w:val="Compact"/>
              <w:jc w:val="left"/>
            </w:pPr>
            <w:r>
              <w:t xml:space="preserve">Bloom et al. (2012); Hsieh &amp; Klenow (2009); Do &amp; Phan (2026a)</w:t>
            </w:r>
          </w:p>
        </w:tc>
        <w:tc>
          <w:tcPr/>
          <w:p>
            <w:pPr>
              <w:pStyle w:val="Compact"/>
              <w:jc w:val="left"/>
            </w:pPr>
            <w:r>
              <w:t xml:space="preserve">Lập luận rõ về firm performance đa chiều trong bối cảnh WBES</w:t>
            </w:r>
          </w:p>
        </w:tc>
      </w:tr>
      <w:tr>
        <w:tc>
          <w:tcPr/>
          <w:p>
            <w:pPr>
              <w:pStyle w:val="Compact"/>
              <w:jc w:val="left"/>
            </w:pPr>
            <w:r>
              <w:t xml:space="preserve">FSTS +</w:t>
            </w:r>
            <w:r>
              <w:t xml:space="preserve"> </w:t>
            </w:r>
            <m:oMath>
              <m:sSup>
                <m:e>
                  <m:r>
                    <m:rPr>
                      <m:nor/>
                      <m:sty m:val="p"/>
                    </m:rPr>
                    <m:t>FSTS</m:t>
                  </m:r>
                </m:e>
                <m:sup>
                  <m:r>
                    <m:t>2</m:t>
                  </m:r>
                </m:sup>
              </m:sSup>
            </m:oMath>
            <w:r>
              <w:t xml:space="preserve"> </w:t>
            </w:r>
            <w:r>
              <w:t xml:space="preserve">+</w:t>
            </w:r>
            <w:r>
              <w:t xml:space="preserve"> </w:t>
            </w:r>
            <m:oMath>
              <m:sSup>
                <m:e>
                  <m:r>
                    <m:rPr>
                      <m:nor/>
                      <m:sty m:val="p"/>
                    </m:rPr>
                    <m:t>FSTS</m:t>
                  </m:r>
                </m:e>
                <m:sup>
                  <m:r>
                    <m:t>3</m:t>
                  </m:r>
                </m:sup>
              </m:sSup>
            </m:oMath>
          </w:p>
        </w:tc>
        <w:tc>
          <w:tcPr/>
          <w:p>
            <w:pPr>
              <w:pStyle w:val="Compact"/>
              <w:jc w:val="left"/>
            </w:pPr>
            <w:r>
              <w:t xml:space="preserve">Lu &amp; Beamish (2004); Hitt et al. (1997); Do &amp; Phan (2026g)</w:t>
            </w:r>
          </w:p>
        </w:tc>
        <w:tc>
          <w:tcPr/>
          <w:p>
            <w:pPr>
              <w:pStyle w:val="Compact"/>
              <w:jc w:val="left"/>
            </w:pPr>
            <w:r>
              <w:t xml:space="preserve">Đưa vào cùng three-way moderation framework</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Non-overlapping construct purity protocol cho WBES; digital shield mở rộng (Do &amp; Phan, 2026a)</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moderation</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Temporal heterogeneity</w:t>
            </w:r>
          </w:p>
        </w:tc>
        <w:tc>
          <w:tcPr/>
          <w:p>
            <w:pPr>
              <w:pStyle w:val="Compact"/>
              <w:jc w:val="left"/>
            </w:pPr>
            <w:r>
              <w:t xml:space="preserve">Wu et al. (2022); Xiao et al. (2013); Do &amp; Phan (2026g)</w:t>
            </w:r>
          </w:p>
        </w:tc>
        <w:tc>
          <w:tcPr/>
          <w:p>
            <w:pPr>
              <w:pStyle w:val="Compact"/>
              <w:jc w:val="left"/>
            </w:pPr>
            <w:r>
              <w:t xml:space="preserve">China 2012–2024 stability test (turning point ~47,8% FSTS)</w:t>
            </w:r>
          </w:p>
        </w:tc>
      </w:tr>
      <w:tr>
        <w:tc>
          <w:tcPr/>
          <w:p>
            <w:pPr>
              <w:pStyle w:val="Compact"/>
              <w:jc w:val="left"/>
            </w:pPr>
            <w:r>
              <w:t xml:space="preserve">Robust SE</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Publication bias</w:t>
            </w:r>
          </w:p>
        </w:tc>
        <w:tc>
          <w:tcPr/>
          <w:p>
            <w:pPr>
              <w:pStyle w:val="Compact"/>
              <w:jc w:val="left"/>
            </w:pPr>
            <w:r>
              <w:t xml:space="preserve">Egger et al. (1997); Begg &amp; Mazumdar (1994)</w:t>
            </w:r>
          </w:p>
        </w:tc>
        <w:tc>
          <w:tcPr/>
          <w:p>
            <w:pPr>
              <w:pStyle w:val="Compact"/>
              <w:jc w:val="left"/>
            </w:pPr>
            <w:r>
              <w:t xml:space="preserve">Chuẩn</w:t>
            </w:r>
          </w:p>
        </w:tc>
      </w:tr>
    </w:tbl>
    <w:bookmarkEnd w:id="57"/>
    <w:bookmarkStart w:id="58" w:name="đạo-đức-nghiên-cứu"/>
    <w:p>
      <w:pPr>
        <w:pStyle w:val="Heading2"/>
      </w:pPr>
      <w:r>
        <w:t xml:space="preserve">3.7 Đạo đức nghiên cứu</w:t>
      </w:r>
    </w:p>
    <w:p>
      <w:pPr>
        <w:pStyle w:val="FirstParagraph"/>
      </w:pPr>
      <w:r>
        <w:t xml:space="preserve">Luận án sử dụng dữ liệu thứ cấp từ WBES, bộ dữ liệu công khai được World Bank cung cấp miễn phí cho mục đích nghiên cứu (World Bank, n.d.). Tất cả các citation theo APA 7th để ghi nhận đầy đủ công sức của các tác giả trước, tránh đạo văn. Code và dữ liệu phân tích được lưu trữ trên các nhánh chuyên biệt của repository để bảo đảm khả năng tái lập kết quả.</w:t>
      </w:r>
    </w:p>
    <w:bookmarkEnd w:id="58"/>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2026-05-25T07:53:45Z</dcterms:created>
  <dcterms:modified xsi:type="dcterms:W3CDTF">2026-05-25T07:53:45Z</dcterms:modified>
</cp:coreProperties>
</file>

<file path=docProps/custom.xml><?xml version="1.0" encoding="utf-8"?>
<Properties xmlns="http://schemas.openxmlformats.org/officeDocument/2006/custom-properties" xmlns:vt="http://schemas.openxmlformats.org/officeDocument/2006/docPropsVTypes"/>
</file>