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 đổi mới tại Singapore (P4); (iv) bối cảnh thể chế trung bình cao tại Trung Quốc (P5); (v) bối cảnh chuyển đổi bậc thấp đến 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w:t>
      </w:r>
      <w:r>
        <w:t xml:space="preserve"> </w:t>
      </w:r>
      <m:oMath>
        <m:r>
          <m:rPr>
            <m:sty m:val="p"/>
          </m:rPr>
          <m:t>≈</m:t>
        </m:r>
      </m:oMath>
      <w:r>
        <w:t xml:space="preserve"> </w:t>
      </w:r>
      <w:r>
        <w:t xml:space="preserve">1,03) và nhóm tài nguyên dẫn dắt (Saudi Arabia, Qatar, Kuwait, sd</w:t>
      </w:r>
      <w:r>
        <w:t xml:space="preserve"> </w:t>
      </w:r>
      <m:oMath>
        <m:r>
          <m:rPr>
            <m:sty m:val="p"/>
          </m:rPr>
          <m:t>≈</m:t>
        </m:r>
      </m:oMath>
      <w:r>
        <w:t xml:space="preserve"> </w:t>
      </w:r>
      <w:r>
        <w:t xml:space="preserve">0,49) xấp xỉ 2,1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w:t>
      </w:r>
      <w:r>
        <w:t xml:space="preserve"> </w:t>
      </w:r>
      <w:r>
        <w:t xml:space="preserve">“</w:t>
      </w:r>
      <w:r>
        <w:t xml:space="preserve">nhảy vọt số</w:t>
      </w:r>
      <w:r>
        <w:t xml:space="preserve">”</w:t>
      </w:r>
      <w:r>
        <w:t xml:space="preserve"> </w:t>
      </w:r>
      <w:r>
        <w:t xml:space="preserve">(digital leapfrogging) ở SIDS: tỷ lệ website 58,9% vượt cả nhóm Emerging (49,2%)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các nghiên cứu I–P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các nghiên cứu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Thái Bình Dương (Nhóm VI), là moderator có ý nghĩa thực sự cho mối quan hệ tổng hợp I–P trong các nghiên cứu.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w:t>
      </w:r>
      <w:r>
        <w:rPr>
          <w:bCs/>
          <w:b/>
        </w:rPr>
        <w:t xml:space="preserve"> </w:t>
      </w:r>
      <m:oMath>
        <m:r>
          <m:rPr>
            <m:sty m:val="p"/>
          </m:rPr>
          <m:t>≈</m:t>
        </m:r>
      </m:oMath>
      <w:r>
        <w:rPr>
          <w:bCs/>
          <w:b/>
        </w:rPr>
        <w:t xml:space="preserve"> </w:t>
      </w:r>
      <w:r>
        <w:rPr>
          <w:bCs/>
          <w:b/>
        </w:rPr>
        <w:t xml:space="preserve">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4"/>
    <w:bookmarkEnd w:id="35"/>
    <w:bookmarkStart w:id="39" w:name="Xabe361c2d5961cf19ce7ab2bd5d9bc6d758140a"/>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8e2e1e61918148d2b474752a2fc33cc990ea226"/>
    <w:p>
      <w:pPr>
        <w:pStyle w:val="Heading2"/>
      </w:pPr>
      <w:r>
        <w:t xml:space="preserve">4.5 Kết quả bối cảnh chuyển đổi bậc thấp đến 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w:t>
      </w:r>
      <w:r>
        <w:t xml:space="preserve"> </w:t>
      </w:r>
      <m:oMath>
        <m:r>
          <m:rPr>
            <m:sty m:val="p"/>
          </m:rPr>
          <m:t>≈</m:t>
        </m:r>
      </m:oMath>
      <w:r>
        <w:t xml:space="preserve"> </w:t>
      </w:r>
      <w:r>
        <w:t xml:space="preserve">88,6%) và tương đương hoặc thấp hơn Trung Quốc (TP</w:t>
      </w:r>
      <w:r>
        <w:t xml:space="preserve"> </w:t>
      </w:r>
      <m:oMath>
        <m:r>
          <m:rPr>
            <m:sty m:val="p"/>
          </m:rPr>
          <m:t>≈</m:t>
        </m:r>
      </m:oMath>
      <w:r>
        <w:t xml:space="preserve"> </w:t>
      </w:r>
      <w:r>
        <w:t xml:space="preserve">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5"/>
    <w:bookmarkStart w:id="46"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w:t>
      </w:r>
      <w:r>
        <w:t xml:space="preserve"> </w:t>
      </w:r>
      <m:oMath>
        <m:sSup>
          <m:e>
            <m:r>
              <m:rPr>
                <m:nor/>
                <m:sty m:val="p"/>
              </m:rPr>
              <m:t>FSTS</m:t>
            </m:r>
          </m:e>
          <m:sup>
            <m:r>
              <m:t>2</m:t>
            </m:r>
          </m:sup>
        </m:sSup>
      </m:oMath>
      <w:r>
        <w:t xml:space="preserve">×TCI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chín quốc gia SIDS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9"/>
    <w:bookmarkStart w:id="50"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các nghiên cứu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các nghiên cứu internationalization–firm performance cho khu vực Thái Bình Dương.</w:t>
      </w:r>
    </w:p>
    <w:p>
      <w:r>
        <w:pict>
          <v:rect style="width:0;height:1.5pt" o:hralign="center" o:hrstd="t" o:hr="t"/>
        </w:pict>
      </w:r>
    </w:p>
    <w:bookmarkEnd w:id="51"/>
    <w:bookmarkEnd w:id="52"/>
    <w:bookmarkStart w:id="53"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 = +0,155***) và cả hai curvature interactions có ý nghĩa trong P7 (49 nền kinh tế); DAI×ICRV p = 0,012,</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đến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3"/>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2026-05-25T07:53:48Z</dcterms:created>
  <dcterms:modified xsi:type="dcterms:W3CDTF">2026-05-25T07:53:48Z</dcterms:modified>
</cp:coreProperties>
</file>

<file path=docProps/custom.xml><?xml version="1.0" encoding="utf-8"?>
<Properties xmlns="http://schemas.openxmlformats.org/officeDocument/2006/custom-properties" xmlns:vt="http://schemas.openxmlformats.org/officeDocument/2006/docPropsVTypes"/>
</file>