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College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 patu@ctu.edu.vn · ORCID:</w:t>
      </w:r>
      <w:r>
        <w:t xml:space="preserve"> </w:t>
      </w:r>
      <w:hyperlink r:id="rId21">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2"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2"/>
    <w:bookmarkStart w:id="23"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4"/>
    <w:bookmarkStart w:id="31" w:name="theory-and-hypotheses"/>
    <w:p>
      <w:pPr>
        <w:pStyle w:val="Heading2"/>
      </w:pPr>
      <w:r>
        <w:t xml:space="preserve">2. Theory and Hypotheses</w:t>
      </w:r>
    </w:p>
    <w:bookmarkStart w:id="25" w:name="X80f1b9a6838da6506200db77e2279c8969787f1"/>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5"/>
    <w:bookmarkStart w:id="26" w:name="temporal-stability-of-the-ip-curvature"/>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w:t>
      </w:r>
      <w:r>
        <w:t xml:space="preserve"> </w:t>
      </w:r>
      <w:r>
        <w:t xml:space="preserve">“</w:t>
      </w:r>
      <w:r>
        <w:t xml:space="preserve">wave-specific</w:t>
      </w:r>
      <w:r>
        <w:t xml:space="preserve">”</w:t>
      </w:r>
      <w:r>
        <w:t xml:space="preserve"> </w:t>
      </w:r>
      <w:r>
        <w:t xml:space="preserve">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6"/>
    <w:bookmarkStart w:id="30" w:name="technological-capability-as-a-moderator"/>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CaptionedFigure"/>
      </w:pPr>
      <w:r>
        <w:drawing>
          <wp:inline>
            <wp:extent cx="5753100" cy="3764110"/>
            <wp:effectExtent b="0" l="0" r="0" t="0"/>
            <wp:docPr descr="Figure 1: Conceptual model"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30"/>
    <w:bookmarkEnd w:id="31"/>
    <w:bookmarkStart w:id="35" w:name="data-and-methods"/>
    <w:p>
      <w:pPr>
        <w:pStyle w:val="Heading2"/>
      </w:pPr>
      <w:r>
        <w:t xml:space="preserve">3. Data and Methods</w:t>
      </w:r>
    </w:p>
    <w:bookmarkStart w:id="32"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2"/>
    <w:bookmarkStart w:id="33" w:name="measures"/>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 China 2012 and 2024.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3"/>
    <w:bookmarkStart w:id="34" w:name="estimation-strategy"/>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w:t>
      </w:r>
      <w:r>
        <w:t xml:space="preserve"> </w:t>
      </w:r>
      <w:r>
        <w:t xml:space="preserve">‘</w:t>
      </w:r>
      <w:r>
        <w:t xml:space="preserve">panel core</w:t>
      </w:r>
      <w:r>
        <w:t xml:space="preserve">’</w:t>
      </w:r>
      <w:r>
        <w:t xml:space="preserv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 capability-conditioned cross-wave shift):</w:t>
      </w:r>
    </w:p>
    <w:p>
      <w:pPr>
        <w:pStyle w:val="BodyText"/>
      </w:pPr>
      <w:r>
        <w:t xml:space="preserve">$$\ln LP_{it} = \alpha + \b\beta_1 FSTS_{it} + \b\beta_2 FSTS^2_{it} + \b\beta_3 TCI_{it} + \b\beta_4 \text{wave}_t$$</w:t>
      </w:r>
    </w:p>
    <w:p>
      <w:pPr>
        <w:pStyle w:val="FirstParagraph"/>
      </w:pPr>
      <w:r>
        <w:t xml:space="preserve">$$+ \b\beta_5 (FSTS \times TCI)_{it} + \b\beta_6 (FSTS^2 \times TCI)_{it}$$</w:t>
      </w:r>
    </w:p>
    <w:p>
      <w:pPr>
        <w:pStyle w:val="FirstParagraph"/>
      </w:pPr>
      <w:r>
        <w:t xml:space="preserve">$$+ \b\beta_7 (FSTS \times \text{wave})_{it} + \b\beta_8 (FSTS^2 \times \text{wave})_{it}$$</w:t>
      </w:r>
    </w:p>
    <w:p>
      <w:pPr>
        <w:pStyle w:val="FirstParagraph"/>
      </w:pPr>
      <w:r>
        <w:t xml:space="preserve">$$+ \b\beta_9 (FSTS \times TCI \times \text{wave})_{it} + \beta_{10} (FSTS^2 \times TCI \times \text{wave})_{it}$$</w:t>
      </w:r>
    </w:p>
    <w:p>
      <w:pPr>
        <w:pStyle w:val="FirstParagraph"/>
      </w:pPr>
      <w:r>
        <w:t xml:space="preserve">$$+ \gamma \cdot X_{it} + \v\varepsilon_{it}$$</w:t>
      </w:r>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r>
        <w:t xml:space="preserve"> </w:t>
      </w:r>
      <w:r>
        <w:t xml:space="preserve">-</w:t>
      </w:r>
      <w:r>
        <w:t xml:space="preserve"> </w:t>
      </w:r>
      <w:r>
        <w:rPr>
          <w:bCs/>
          <w:b/>
        </w:rPr>
        <w:t xml:space="preserve">F1</w:t>
      </w:r>
      <w:r>
        <w:t xml:space="preserve"> </w:t>
      </w:r>
      <w:r>
        <w:t xml:space="preserve">(cross-wave curvature shift): H₀: β₇ = β₈ = 0 [H2b null — turning point stable across waves]</w:t>
      </w:r>
      <w:r>
        <w:t xml:space="preserve"> </w:t>
      </w:r>
      <w:r>
        <w:t xml:space="preserve">-</w:t>
      </w:r>
      <w:r>
        <w:t xml:space="preserve"> </w:t>
      </w:r>
      <w:r>
        <w:rPr>
          <w:bCs/>
          <w:b/>
        </w:rPr>
        <w:t xml:space="preserve">F2</w:t>
      </w:r>
      <w:r>
        <w:t xml:space="preserve"> </w:t>
      </w:r>
      <w:r>
        <w:t xml:space="preserve">(within-wave capability moderation): H₀: β₅ = β₆ = 0 [H3 null — TCI does not moderate I–P curve shape]</w:t>
      </w:r>
      <w:r>
        <w:t xml:space="preserve"> </w:t>
      </w:r>
      <w:r>
        <w:t xml:space="preserve">-</w:t>
      </w:r>
      <w:r>
        <w:t xml:space="preserve"> </w:t>
      </w:r>
      <w:r>
        <w:rPr>
          <w:bCs/>
          <w:b/>
        </w:rPr>
        <w:t xml:space="preserve">F3</w:t>
      </w:r>
      <w:r>
        <w:t xml:space="preserve"> </w:t>
      </w:r>
      <w:r>
        <w:t xml:space="preserve">(capability-conditioned cross-wave shift): H₀: β₉ = β₁₀ = 0 [H4b null — TCI × wave shift is zero]</w:t>
      </w:r>
    </w:p>
    <w:p>
      <w:pPr>
        <w:pStyle w:val="BodyText"/>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4"/>
    <w:bookmarkEnd w:id="35"/>
    <w:bookmarkStart w:id="51" w:name="results"/>
    <w:p>
      <w:pPr>
        <w:pStyle w:val="Heading2"/>
      </w:pPr>
      <w:r>
        <w:t xml:space="preserve">4. Results</w:t>
      </w:r>
    </w:p>
    <w:bookmarkStart w:id="36" w:name="descriptive-statistics"/>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6"/>
    <w:bookmarkStart w:id="40" w:name="main-threshold-results"/>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CaptionedFigure"/>
      </w:pPr>
      <w:r>
        <w:drawing>
          <wp:inline>
            <wp:extent cx="5753100" cy="3010157"/>
            <wp:effectExtent b="0" l="0" r="0" t="0"/>
            <wp:docPr descr="Figure 2: Turning-point estimates with 95% CIs by wave (China)"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0"/>
    <w:bookmarkStart w:id="44" w:name="predicted-ip-curves"/>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CaptionedFigure"/>
      </w:pPr>
      <w:r>
        <w:drawing>
          <wp:inline>
            <wp:extent cx="5753100" cy="3330862"/>
            <wp:effectExtent b="0" l="0" r="0" t="0"/>
            <wp:docPr descr="Figure 3: Predicted I–P curves by wave (China)"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4"/>
    <w:bookmarkStart w:id="48" w:name="capability-moderation"/>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CaptionedFigure"/>
      </w:pPr>
      <w:r>
        <w:drawing>
          <wp:inline>
            <wp:extent cx="5753100" cy="2591800"/>
            <wp:effectExtent b="0" l="0" r="0" t="0"/>
            <wp:docPr descr="Figure 4: TCI and DAI direct-effect coefficients by wave (China, standardised OLS)"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48"/>
    <w:bookmarkStart w:id="49" w:name="mechanism-analysis-digital-adoption"/>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w:t>
      </w:r>
      <w:r>
        <w:t xml:space="preserve"> </w:t>
      </w:r>
      <w:r>
        <w:t xml:space="preserve">“</w:t>
      </w:r>
      <w:r>
        <w:t xml:space="preserve">descriptive mechanism sketch</w:t>
      </w:r>
      <w:r>
        <w:t xml:space="preserve">”</w:t>
      </w:r>
      <w:r>
        <w:t xml:space="preserve"> </w:t>
      </w:r>
      <w:r>
        <w:t xml:space="preserve">rather than a causal identification claim (Antonakis et al., 2010; Shaver, 2020).</w:t>
      </w:r>
    </w:p>
    <w:bookmarkEnd w:id="49"/>
    <w:bookmarkStart w:id="50" w:name="robustness-checks"/>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0"/>
    <w:bookmarkEnd w:id="51"/>
    <w:bookmarkStart w:id="57" w:name="discussion"/>
    <w:p>
      <w:pPr>
        <w:pStyle w:val="Heading2"/>
      </w:pPr>
      <w:r>
        <w:t xml:space="preserve">5. Discussion</w:t>
      </w:r>
    </w:p>
    <w:bookmarkStart w:id="52" w:name="temporal-stability-of-the-ip-threshold"/>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2"/>
    <w:bookmarkStart w:id="53" w:name="X433fb1e034c39d563b08fc3391a6162a4e2331e"/>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w:t>
      </w:r>
      <w:r>
        <w:t xml:space="preserve"> </w:t>
      </w:r>
      <w:r>
        <w:t xml:space="preserve">“</w:t>
      </w:r>
      <w:r>
        <w:t xml:space="preserve">level-shifter</w:t>
      </w:r>
      <w:r>
        <w:t xml:space="preserve">”</w:t>
      </w:r>
      <w:r>
        <w:t xml:space="preserve">: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3"/>
    <w:bookmarkStart w:id="54" w:name="digital-adoption-as-baseline-control"/>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4"/>
    <w:bookmarkStart w:id="55" w:name="limitations"/>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55"/>
    <w:bookmarkStart w:id="56" w:name="future-research"/>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6"/>
    <w:bookmarkEnd w:id="57"/>
    <w:bookmarkStart w:id="58" w:name="conclusion"/>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58"/>
    <w:bookmarkStart w:id="59"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9"/>
    <w:bookmarkStart w:id="60"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 https://www.enterprisesurveys.org. Variable construction code and processed datasets are available from the corresponding author upon reasonable request.</w:t>
      </w:r>
    </w:p>
    <w:bookmarkEnd w:id="60"/>
    <w:bookmarkStart w:id="61"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References</w:t>
            </w:r>
          </w:p>
        </w:tc>
      </w:tr>
      <w:tr>
        <w:tc>
          <w:tcPr/>
          <w:p>
            <w:pPr>
              <w:pStyle w:val="Compact"/>
              <w:jc w:val="lef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tc>
      </w:tr>
      <w:tr>
        <w:tc>
          <w:tcPr/>
          <w:p>
            <w:pPr>
              <w:pStyle w:val="Compact"/>
              <w:jc w:val="lef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tc>
      </w:tr>
      <w:tr>
        <w:tc>
          <w:tcPr/>
          <w:p>
            <w:pPr>
              <w:pStyle w:val="Compact"/>
              <w:jc w:val="lef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tc>
      </w:tr>
      <w:tr>
        <w:tc>
          <w:tcPr/>
          <w:p>
            <w:pPr>
              <w:pStyle w:val="Compact"/>
              <w:jc w:val="lef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tc>
      </w:tr>
      <w:tr>
        <w:tc>
          <w:tcPr/>
          <w:p>
            <w:pPr>
              <w:pStyle w:val="Compact"/>
              <w:jc w:val="lef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tc>
      </w:tr>
      <w:tr>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tc>
      </w:tr>
      <w:tr>
        <w:tc>
          <w:tcPr/>
          <w:p>
            <w:pPr>
              <w:pStyle w:val="Compact"/>
              <w:jc w:val="lef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tc>
      </w:tr>
      <w:tr>
        <w:tc>
          <w:tcPr/>
          <w:p>
            <w:pPr>
              <w:pStyle w:val="Compact"/>
              <w:jc w:val="lef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tc>
      </w:tr>
      <w:tr>
        <w:tc>
          <w:tcPr/>
          <w:p>
            <w:pPr>
              <w:pStyle w:val="Compact"/>
              <w:jc w:val="left"/>
            </w:pPr>
            <w:r>
              <w:t xml:space="preserve">Lall, S. (1992). Technological capabilities and industrialization.</w:t>
            </w:r>
            <w:r>
              <w:t xml:space="preserve"> </w:t>
            </w:r>
            <w:r>
              <w:rPr>
                <w:iCs/>
                <w:i/>
              </w:rPr>
              <w:t xml:space="preserve">World Development, 20</w:t>
            </w:r>
            <w:r>
              <w:t xml:space="preserve">(2), 165–186. https://doi.org/10.1016/0305-750X(92)90097-F</w:t>
            </w:r>
          </w:p>
        </w:tc>
      </w:tr>
      <w:tr>
        <w:tc>
          <w:tcPr/>
          <w:p>
            <w:pPr>
              <w:pStyle w:val="Compact"/>
              <w:jc w:val="lef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tc>
      </w:tr>
      <w:tr>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tc>
      </w:tr>
      <w:tr>
        <w:tc>
          <w:tcPr/>
          <w:p>
            <w:pPr>
              <w:pStyle w:val="Compact"/>
              <w:jc w:val="lef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tc>
      </w:tr>
      <w:tr>
        <w:tc>
          <w:tcPr/>
          <w:p>
            <w:pPr>
              <w:pStyle w:val="Compact"/>
              <w:jc w:val="lef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tc>
      </w:tr>
      <w:tr>
        <w:tc>
          <w:tcPr/>
          <w:p>
            <w:pPr>
              <w:pStyle w:val="Compact"/>
              <w:jc w:val="lef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tc>
      </w:tr>
      <w:tr>
        <w:tc>
          <w:tcPr/>
          <w:p>
            <w:pPr>
              <w:pStyle w:val="Compact"/>
              <w:jc w:val="lef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tc>
      </w:tr>
      <w:tr>
        <w:tc>
          <w:tcPr/>
          <w:p>
            <w:pPr>
              <w:pStyle w:val="Compact"/>
              <w:jc w:val="lef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tc>
      </w:tr>
      <w:tr>
        <w:tc>
          <w:tcPr/>
          <w:p>
            <w:pPr>
              <w:pStyle w:val="Compact"/>
              <w:jc w:val="lef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tc>
      </w:tr>
      <w:tr>
        <w:tc>
          <w:tcPr/>
          <w:p>
            <w:pPr>
              <w:pStyle w:val="Compact"/>
              <w:jc w:val="lef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tc>
      </w:tr>
      <w:tr>
        <w:tc>
          <w:tcPr/>
          <w:p>
            <w:pPr>
              <w:pStyle w:val="Compact"/>
              <w:jc w:val="lef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tc>
      </w:tr>
      <w:tr>
        <w:tc>
          <w:tcPr/>
          <w:p>
            <w:pPr>
              <w:pStyle w:val="Compact"/>
              <w:jc w:val="lef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tc>
      </w:tr>
      <w:tr>
        <w:tc>
          <w:tcPr/>
          <w:p>
            <w:pPr>
              <w:pStyle w:val="Compact"/>
              <w:jc w:val="lef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tc>
      </w:tr>
      <w:tr>
        <w:tc>
          <w:tcPr/>
          <w:p>
            <w:pPr>
              <w:pStyle w:val="Compact"/>
              <w:jc w:val="lef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tc>
      </w:tr>
      <w:tr>
        <w:tc>
          <w:tcPr/>
          <w:p>
            <w:pPr>
              <w:pStyle w:val="Compact"/>
              <w:jc w:val="lef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tc>
      </w:tr>
      <w:tr>
        <w:tc>
          <w:tcPr/>
          <w:p>
            <w:pPr>
              <w:pStyle w:val="Compact"/>
              <w:jc w:val="lef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tc>
      </w:tr>
      <w:tr>
        <w:tc>
          <w:tcPr/>
          <w:p>
            <w:pPr>
              <w:pStyle w:val="Compact"/>
              <w:jc w:val="lef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tc>
      </w:tr>
      <w:tr>
        <w:tc>
          <w:tcPr/>
          <w:p>
            <w:pPr>
              <w:pStyle w:val="Compact"/>
              <w:jc w:val="lef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tc>
      </w:tr>
      <w:tr>
        <w:tc>
          <w:tcPr/>
          <w:p>
            <w:pPr>
              <w:pStyle w:val="Compact"/>
              <w:jc w:val="lef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tc>
      </w:tr>
      <w:tr>
        <w:tc>
          <w:tcPr/>
          <w:p>
            <w:pPr>
              <w:pStyle w:val="Compact"/>
              <w:jc w:val="lef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tc>
      </w:tr>
      <w:tr>
        <w:tc>
          <w:tcPr/>
          <w:p>
            <w:pPr>
              <w:pStyle w:val="Compact"/>
              <w:jc w:val="lef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tc>
      </w:tr>
    </w:tbl>
    <w:p>
      <w:pPr>
        <w:pStyle w:val="BodyText"/>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61"/>
    <w:bookmarkEnd w:id="6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2026-05-25T07:54:48Z</dcterms:created>
  <dcterms:modified xsi:type="dcterms:W3CDTF">2026-05-25T07:54:48Z</dcterms:modified>
</cp:coreProperties>
</file>

<file path=docProps/custom.xml><?xml version="1.0" encoding="utf-8"?>
<Properties xmlns="http://schemas.openxmlformats.org/officeDocument/2006/custom-properties" xmlns:vt="http://schemas.openxmlformats.org/officeDocument/2006/docPropsVTypes"/>
</file>