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(σ²_within = 0.00878, I²_(2) = 54.1%) within between-study heterogeneity (σ²_between = 0.00136, I²_(3) = 8.4%); total I² = 62.4%. Publication bias (H4 confirmed): Egger’s b = 0.475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fulltext_to_extraction_tracker_v2.csv</w:t>
      </w:r>
      <w:r>
        <w:t xml:space="preserve"> </w:t>
      </w:r>
      <w:r>
        <w:t xml:space="preserve">(435 rows × 58 cols;</w:t>
      </w:r>
      <w:r>
        <w:t xml:space="preserve"> </w:t>
      </w:r>
      <w:r>
        <w:rPr>
          <w:rStyle w:val="VerbatimChar"/>
        </w:rPr>
        <w:t xml:space="preserve">extraction_priority</w:t>
      </w:r>
      <w:r>
        <w:t xml:space="preserve">: 310</w:t>
      </w:r>
      <w:r>
        <w:t xml:space="preserve"> </w:t>
      </w:r>
      <w:r>
        <w:rPr>
          <w:rStyle w:val="VerbatimChar"/>
        </w:rPr>
        <w:t xml:space="preserve">1_DOI_FIRST</w:t>
      </w:r>
      <w:r>
        <w:t xml:space="preserve"> </w:t>
      </w:r>
      <w:r>
        <w:t xml:space="preserve">+ 125</w:t>
      </w:r>
      <w:r>
        <w:t xml:space="preserve"> </w:t>
      </w:r>
      <w:r>
        <w:rPr>
          <w:rStyle w:val="VerbatimChar"/>
        </w:rPr>
        <w:t xml:space="preserve">2_NO_DOI_MANUAL</w:t>
      </w:r>
      <w:r>
        <w:t xml:space="preserve">).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62.4%, indicating substantial heterogeneity beyond sampling error — the motivation for moderator analysis, though the moderator analyses in §§4.3–4.5 do not resolve this heterogeneity significantly.</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4.2 — ICRV regime subgroup results</w:t>
      </w:r>
      <w:r>
        <w:t xml:space="preserve"> </w:t>
      </w:r>
      <w:r>
        <w:rPr>
          <w:iCs/>
          <w:i/>
        </w:rPr>
        <w:t xml:space="preserve">(actual MARA output, k=238/K=288)</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(k=91, Emerging) shows</w:t>
      </w:r>
      <w:r>
        <w:t xml:space="preserve"> </w:t>
      </w:r>
      <w:r>
        <w:rPr>
          <w:iCs/>
          <w:i/>
        </w:rPr>
        <w:t xml:space="preserve">r̄</w:t>
      </w:r>
      <w:r>
        <w:t xml:space="preserve"> </w:t>
      </w:r>
      <w:r>
        <w:t xml:space="preserve">= 0.069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8"/>
    <w:bookmarkStart w:id="4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0.475 (</w:t>
      </w:r>
      <w:r>
        <w:rPr>
          <w:iCs/>
          <w:i/>
        </w:rPr>
        <w:t xml:space="preserve">SE</w:t>
      </w:r>
      <w:r>
        <w:t xml:space="preserve"> </w:t>
      </w:r>
      <w:r>
        <w:t xml:space="preserve">= 0.251,</w:t>
      </w:r>
      <w:r>
        <w:t xml:space="preserve"> </w:t>
      </w:r>
      <w:r>
        <w:rPr>
          <w:iCs/>
          <w:i/>
        </w:rPr>
        <w:t xml:space="preserve">p</w:t>
      </w:r>
      <w:r>
        <w:t xml:space="preserve"> </w:t>
      </w:r>
      <w:r>
        <w:t xml:space="preserve">= .057)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0.069):</w:t>
      </w:r>
      <w:r>
        <w:t xml:space="preserve"> </w:t>
      </w:r>
      <w:r>
        <w:t xml:space="preserve">The Emerging group shows</w:t>
      </w:r>
      <w:r>
        <w:t xml:space="preserve"> </w:t>
      </w:r>
      <w:r>
        <w:rPr>
          <w:iCs/>
          <w:i/>
        </w:rPr>
        <w:t xml:space="preserve">r̄</w:t>
      </w:r>
      <w:r>
        <w:t xml:space="preserve"> </w:t>
      </w:r>
      <w:r>
        <w:t xml:space="preserve">= 0.069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[TBD] (prior DB: k = 238)</w:t>
      </w:r>
      <w:r>
        <w:br/>
      </w:r>
      <w:r>
        <w:rPr>
          <w:rStyle w:val="VerbatimChar"/>
        </w:rPr>
        <w:t xml:space="preserve">Effect sizes coded:                  K = [TBD] (prior DB: K = 288)</w:t>
      </w:r>
      <w:r>
        <w:br/>
      </w:r>
      <w:r>
        <w:br/>
      </w:r>
      <w:r>
        <w:rPr>
          <w:rStyle w:val="VerbatimChar"/>
        </w:rPr>
        <w:t xml:space="preserve">Note: Final k/K will reflect: existing k=238 + confirmed new studies from</w:t>
      </w:r>
      <w:r>
        <w:br/>
      </w:r>
      <w:r>
        <w:rPr>
          <w:rStyle w:val="VerbatimChar"/>
        </w:rPr>
        <w:t xml:space="preserve">2,032 new candidates after full-text L2 screening and effect-size extraction.</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2026-05-25T07:54:55Z</dcterms:created>
  <dcterms:modified xsi:type="dcterms:W3CDTF">2026-05-25T07:54:55Z</dcterms:modified>
</cp:coreProperties>
</file>

<file path=docProps/custom.xml><?xml version="1.0" encoding="utf-8"?>
<Properties xmlns="http://schemas.openxmlformats.org/officeDocument/2006/custom-properties" xmlns:vt="http://schemas.openxmlformats.org/officeDocument/2006/docPropsVTypes"/>
</file>