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document that firm-level capabilities (technological capability, digital adoption) do not appear to override FIP, shifting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t>
      </w:r>
      <w:r>
        <w:t xml:space="preserve"> </w:t>
      </w:r>
      <w:r>
        <w:t xml:space="preserve">“</w:t>
      </w:r>
      <w:r>
        <w:t xml:space="preserve">institutional determination of the sign of I-P relationship.</w:t>
      </w:r>
      <w:r>
        <w:t xml:space="preserve">”</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c0a88d50ea7b5c27a76a85a44afe4aa278d46cd"/>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w:t>
      </w:r>
      <w:r>
        <w:t xml:space="preserve"> </w:t>
      </w:r>
      <w:r>
        <w:t xml:space="preserve">“</w:t>
      </w:r>
      <w:r>
        <w:t xml:space="preserve">cost of doing business</w:t>
      </w:r>
      <w:r>
        <w:t xml:space="preserve">”</w:t>
      </w:r>
      <w:r>
        <w:t xml:space="preserve"> </w:t>
      </w:r>
      <w:r>
        <w:t xml:space="preserve">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 not just the magnitude — of the I-P relationship reverses.</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conclusions"/>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t>
      </w:r>
      <w:r>
        <w:t xml:space="preserve"> </w:t>
      </w:r>
      <w:r>
        <w:t xml:space="preserve">“</w:t>
      </w:r>
      <w:r>
        <w:t xml:space="preserve">institutional determination of I-P sign,</w:t>
      </w:r>
      <w:r>
        <w:t xml:space="preserve">”</w:t>
      </w:r>
      <w:r>
        <w:t xml:space="preserve"> </w:t>
      </w:r>
      <w:r>
        <w:t xml:space="preserve">suggesting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47"/>
    <w:bookmarkStart w:id="48"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2026-05-25T07:55:07Z</dcterms:created>
  <dcterms:modified xsi:type="dcterms:W3CDTF">2026-05-25T07:55:07Z</dcterms:modified>
</cp:coreProperties>
</file>

<file path=docProps/custom.xml><?xml version="1.0" encoding="utf-8"?>
<Properties xmlns="http://schemas.openxmlformats.org/officeDocument/2006/custom-properties" xmlns:vt="http://schemas.openxmlformats.org/officeDocument/2006/docPropsVTypes"/>
</file>