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87e29e4e3ebe57e1846937485379d1df213db3e"/>
    <w:p>
      <w:pPr>
        <w:pStyle w:val="Heading1"/>
      </w:pPr>
      <w:r>
        <w:t xml:space="preserve">P6 — Quốc tế hóa và hiệu quả hoạt động doanh nghiệp: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v2.2 (19/05/2026)</w:t>
      </w:r>
      <w:r>
        <w:t xml:space="preserve"> </w:t>
      </w:r>
      <w:r>
        <w:t xml:space="preserve">— MARA confirmed k=238, K=288. Database: k=237 coded baseline + S0129 (WoS arm, India BG, r=0.13). ICRV Q_M(4)=17.35 CONFIRMED; cDAI Q_M(2)=1.23 NS; DPL Q_M(2)=0.56 NS. Trim-and-fill k_imputed=58, adj r=0.035 [0.019, 0.051]. Fail-safe N=45,848.</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doanh nghiệp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(k=237 coded baseline + 1 new WoS record S0129). Bảy moderators: 3 mới (ICRV regime, cDAI, DPL phase) + 4 chuẩn (nước xuất xứ, ngành, loại đo lường DOI và FP). Tiền đăng ký OSF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Moderator ICRV cho thấy</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I (</w:t>
      </w:r>
      <m:oMath>
        <m:acc>
          <m:accPr>
            <m:chr m:val="‾"/>
          </m:accPr>
          <m:e>
            <m:r>
              <m:t>r</m:t>
            </m:r>
          </m:e>
        </m:acc>
        <m:r>
          <m:rPr>
            <m:sty m:val="p"/>
          </m:rPr>
          <m:t>=</m:t>
        </m:r>
        <m:r>
          <m:t>0.079</m:t>
        </m:r>
      </m:oMath>
      <w:r>
        <w:t xml:space="preserve">,</w:t>
      </w:r>
      <w:r>
        <w:t xml:space="preserve"> </w:t>
      </w:r>
      <m:oMath>
        <m:r>
          <m:t>k</m:t>
        </m:r>
        <m:r>
          <m:rPr>
            <m:sty m:val="p"/>
          </m:rPr>
          <m:t>=</m:t>
        </m:r>
        <m:r>
          <m:t>139</m:t>
        </m:r>
      </m:oMath>
      <w:r>
        <w:t xml:space="preserve">) &gt; III (</w:t>
      </w:r>
      <m:oMath>
        <m:acc>
          <m:accPr>
            <m:chr m:val="‾"/>
          </m:accPr>
          <m:e>
            <m:r>
              <m:t>r</m:t>
            </m:r>
          </m:e>
        </m:acc>
        <m:r>
          <m:rPr>
            <m:sty m:val="p"/>
          </m:rPr>
          <m:t>=</m:t>
        </m:r>
        <m:r>
          <m:t>0.069</m:t>
        </m:r>
      </m:oMath>
      <w:r>
        <w:t xml:space="preserve">,</w:t>
      </w:r>
      <w:r>
        <w:t xml:space="preserve"> </w:t>
      </w:r>
      <m:oMath>
        <m:r>
          <m:t>k</m:t>
        </m:r>
        <m:r>
          <m:rPr>
            <m:sty m:val="p"/>
          </m:rPr>
          <m:t>=</m:t>
        </m:r>
        <m:r>
          <m:t>91</m:t>
        </m:r>
      </m:oMath>
      <w:r>
        <w:t xml:space="preserve">) &gt; II (</w:t>
      </w:r>
      <m:oMath>
        <m:acc>
          <m:accPr>
            <m:chr m:val="‾"/>
          </m:accPr>
          <m:e>
            <m:r>
              <m:t>r</m:t>
            </m:r>
          </m:e>
        </m:acc>
        <m:r>
          <m:rPr>
            <m:sty m:val="p"/>
          </m:rPr>
          <m:t>=</m:t>
        </m:r>
        <m:r>
          <m:t>0.065</m:t>
        </m:r>
      </m:oMath>
      <w:r>
        <w:t xml:space="preserve">,</w:t>
      </w:r>
      <w:r>
        <w:t xml:space="preserve"> </w:t>
      </w:r>
      <m:oMath>
        <m:r>
          <m:t>k</m:t>
        </m:r>
        <m:r>
          <m:rPr>
            <m:sty m:val="p"/>
          </m:rPr>
          <m:t>=</m:t>
        </m:r>
        <m:r>
          <m:t>25</m:t>
        </m:r>
      </m:oMath>
      <w:r>
        <w:t xml:space="preserve">) &gt; MX (</w:t>
      </w:r>
      <m:oMath>
        <m:acc>
          <m:accPr>
            <m:chr m:val="‾"/>
          </m:accPr>
          <m:e>
            <m:r>
              <m:t>r</m:t>
            </m:r>
          </m:e>
        </m:acc>
        <m:r>
          <m:rPr>
            <m:sty m:val="p"/>
          </m:rPr>
          <m:t>=</m:t>
        </m:r>
        <m:r>
          <m:t>0.053</m:t>
        </m:r>
      </m:oMath>
      <w:r>
        <w:t xml:space="preserve">,</w:t>
      </w:r>
      <w:r>
        <w:t xml:space="preserve"> </w:t>
      </w:r>
      <m:oMath>
        <m:r>
          <m:t>k</m:t>
        </m:r>
        <m:r>
          <m:rPr>
            <m:sty m:val="p"/>
          </m:rPr>
          <m:t>=</m:t>
        </m:r>
        <m:r>
          <m:t>30</m:t>
        </m:r>
      </m:oMath>
      <w:r>
        <w:t xml:space="preserve">); FR (</w:t>
      </w:r>
      <m:oMath>
        <m:acc>
          <m:accPr>
            <m:chr m:val="‾"/>
          </m:accPr>
          <m:e>
            <m:r>
              <m:t>r</m:t>
            </m:r>
          </m:e>
        </m:acc>
        <m:r>
          <m:rPr>
            <m:sty m:val="p"/>
          </m:rPr>
          <m:t>=</m:t>
        </m:r>
        <m:r>
          <m:t>0.349</m:t>
        </m:r>
      </m:oMath>
      <w:r>
        <w:t xml:space="preserve">,</w:t>
      </w:r>
      <w:r>
        <w:t xml:space="preserve"> </w:t>
      </w:r>
      <m:oMath>
        <m:r>
          <m:t>k</m:t>
        </m:r>
        <m:r>
          <m:rPr>
            <m:sty m:val="p"/>
          </m:rPr>
          <m:t>=</m:t>
        </m:r>
        <m:r>
          <m:t>3</m:t>
        </m:r>
      </m:oMath>
      <w:r>
        <w:t xml:space="preserve">) — bất thường do outlier Pouresmaeili et al. (2018), không đáng tin cậy. Không có gradient ICRV đơn điệu.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w:t>
      </w:r>
      <w:r>
        <w:t xml:space="preserve"> </w:t>
      </w:r>
      <m:oMath>
        <m:sSub>
          <m:e>
            <m:r>
              <m:t>β</m:t>
            </m:r>
          </m:e>
          <m:sub>
            <m:r>
              <m:t>c</m:t>
            </m:r>
            <m:r>
              <m:t>D</m:t>
            </m:r>
            <m:r>
              <m:t>A</m:t>
            </m:r>
            <m:r>
              <m:t>I</m:t>
            </m:r>
          </m:sub>
        </m:sSub>
        <m:r>
          <m:rPr>
            <m:sty m:val="p"/>
          </m:rPr>
          <m:t>=</m:t>
        </m:r>
        <m:r>
          <m:rPr>
            <m:sty m:val="p"/>
          </m:rPr>
          <m:t>+</m:t>
        </m:r>
        <m:r>
          <m:t>0.003</m:t>
        </m:r>
      </m:oMath>
      <w:r>
        <w:t xml:space="preserve">,</w:t>
      </w:r>
      <w:r>
        <w:t xml:space="preserve"> </w:t>
      </w:r>
      <m:oMath>
        <m:r>
          <m:t>p</m:t>
        </m:r>
        <m:r>
          <m:rPr>
            <m:sty m:val="p"/>
          </m:rPr>
          <m:t>=</m:t>
        </m:r>
        <m:r>
          <m:t>.744</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PRE (</w:t>
      </w:r>
      <m:oMath>
        <m:acc>
          <m:accPr>
            <m:chr m:val="‾"/>
          </m:accPr>
          <m:e>
            <m:r>
              <m:t>r</m:t>
            </m:r>
          </m:e>
        </m:acc>
        <m:r>
          <m:rPr>
            <m:sty m:val="p"/>
          </m:rPr>
          <m:t>=</m:t>
        </m:r>
        <m:r>
          <m:t>0.082</m:t>
        </m:r>
      </m:oMath>
      <w:r>
        <w:t xml:space="preserve">) &gt; FOL (</w:t>
      </w:r>
      <m:oMath>
        <m:acc>
          <m:accPr>
            <m:chr m:val="‾"/>
          </m:accPr>
          <m:e>
            <m:r>
              <m:t>r</m:t>
            </m:r>
          </m:e>
        </m:acc>
        <m:r>
          <m:rPr>
            <m:sty m:val="p"/>
          </m:rPr>
          <m:t>=</m:t>
        </m:r>
        <m:r>
          <m:t>0.073</m:t>
        </m:r>
      </m:oMath>
      <w:r>
        <w:t xml:space="preserve">) &gt; SPN (</w:t>
      </w:r>
      <m:oMath>
        <m:acc>
          <m:accPr>
            <m:chr m:val="‾"/>
          </m:accPr>
          <m:e>
            <m:r>
              <m:t>r</m:t>
            </m:r>
          </m:e>
        </m:acc>
        <m:r>
          <m:rPr>
            <m:sty m:val="p"/>
          </m:rPr>
          <m:t>=</m:t>
        </m:r>
        <m:r>
          <m:t>0.069</m:t>
        </m:r>
      </m:oMath>
      <w:r>
        <w:t xml:space="preserve">), Hm2 không được ủng hộ. Thiên lệch công bố: Egger’s marginal (</w:t>
      </w:r>
      <m:oMath>
        <m:r>
          <m:t>p</m:t>
        </m:r>
        <m:r>
          <m:rPr>
            <m:sty m:val="p"/>
          </m:rPr>
          <m:t>=</m:t>
        </m:r>
        <m:r>
          <m:t>.057</m:t>
        </m:r>
      </m:oMath>
      <w:r>
        <w:t xml:space="preserve">); Begg’s tau</w:t>
      </w:r>
      <w:r>
        <w:t xml:space="preserve"> </w:t>
      </w:r>
      <m:oMath>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w:t>
      </w:r>
      <w:r>
        <w:t xml:space="preserve"> </w:t>
      </w:r>
      <w:r>
        <w:rPr>
          <w:bCs/>
          <w:b/>
        </w:rPr>
        <w:t xml:space="preserve">phát hiện chính</w:t>
      </w:r>
      <w:r>
        <w:t xml:space="preserve">. Fail-safe N = 45,848 (tiêu chuẩn 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5-regime đầu tiên cho châu Á + Pacific, DPL phase testing đầu tiên systematic.</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doanh nghiệp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5-regime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eb20b556e5720d7eae435597cb2666f91195529"/>
    <w:p>
      <w:pPr>
        <w:pStyle w:val="Heading3"/>
      </w:pPr>
      <w:r>
        <w:t xml:space="preserve">1.4 Gap 2: ICRV 5-regime chưa áp dụng cho châu Á + Pacific</w:t>
      </w:r>
    </w:p>
    <w:p>
      <w:pPr>
        <w:pStyle w:val="FirstParagraph"/>
      </w:pPr>
      <w:r>
        <w:rPr>
          <w:bCs/>
          <w:b/>
        </w:rPr>
        <w:t xml:space="preserve">Định nghĩa</w:t>
      </w:r>
      <w:r>
        <w:t xml:space="preserve">: ICRV 5-regime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Regime I (Advanced,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SIDS (Quốc đảo Thái Bình Dương, boundary case), và Frontier (WGI</w:t>
      </w:r>
      <w:r>
        <w:t xml:space="preserve"> </w:t>
      </w:r>
      <m:oMath>
        <m:r>
          <m:rPr>
            <m:sty m:val="p"/>
          </m:rPr>
          <m:t>&lt;</m:t>
        </m:r>
        <m:r>
          <m:rPr>
            <m:sty m:val="p"/>
          </m:rPr>
          <m:t>−</m:t>
        </m:r>
        <m:r>
          <m:t>0.50</m:t>
        </m:r>
      </m:oMath>
      <w:r>
        <w:t xml:space="preserve">).</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5-regime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5-regime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ICRV 5-regime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5-regime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nhóm)</w:t>
            </w:r>
          </w:p>
        </w:tc>
        <w:tc>
          <w:tcPr/>
          <w:p>
            <w:pPr>
              <w:pStyle w:val="Compact"/>
              <w:jc w:val="left"/>
            </w:pPr>
            <w:r>
              <w:t xml:space="preserve">I/II/III/IV/V/VI theo WGI RoL với thresholds</w:t>
            </w:r>
            <w:r>
              <w:t xml:space="preserve"> </w:t>
            </w:r>
            <m:oMath>
              <m:r>
                <m:rPr>
                  <m:sty m:val="p"/>
                </m:rPr>
                <m:t>+</m:t>
              </m:r>
              <m:r>
                <m:t>0.80</m:t>
              </m:r>
              <m:r>
                <m:rPr>
                  <m:sty m:val="p"/>
                </m:rPr>
                <m:t>/</m:t>
              </m:r>
              <m:r>
                <m:rPr>
                  <m:sty m:val="p"/>
                </m:rPr>
                <m:t>−</m:t>
              </m:r>
              <m:r>
                <m:t>0.50</m:t>
              </m:r>
            </m:oMath>
            <w:r>
              <w:t xml:space="preserve"> </w:t>
            </w:r>
            <w:r>
              <w:t xml:space="preserve">(I=Advanced Innovation, II=Advanced Resource, III=Upper-middle, IV=Emerging, V=Frontier, VI=SIDS)</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phân-tích-moderator-icrv-5-regime"/>
    <w:p>
      <w:pPr>
        <w:pStyle w:val="Heading3"/>
      </w:pPr>
      <w:r>
        <w:t xml:space="preserve">4.3 Phân tích moderator: ICRV 5-regime</w:t>
      </w:r>
    </w:p>
    <w:p>
      <w:pPr>
        <w:pStyle w:val="FirstParagraph"/>
      </w:pPr>
      <w:r>
        <w:rPr>
          <w:bCs/>
          <w:b/>
        </w:rPr>
        <w:t xml:space="preserve">Phương pháp</w:t>
      </w:r>
      <w:r>
        <w:t xml:space="preserve">: Subgroup analysis riêng cho từng trong 5 ICRV regimes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ICRV 5-regime:</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significance, KHÔNG cho thấy gradient đơn điệu rõ ràng:</w:t>
      </w:r>
    </w:p>
    <w:p>
      <w:pPr>
        <w:pStyle w:val="BodyText"/>
      </w:pPr>
      <w:r>
        <w:rPr>
          <w:bCs/>
          <w:b/>
        </w:rPr>
        <w:t xml:space="preserve">Bảng 4.2 — Kết quả ICRV 5-regime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Meta-regression với cDAI liên tục KHÔNG có ý nghĩa thống kê (</w:t>
      </w:r>
      <m:oMath>
        <m:sSub>
          <m:e>
            <m:r>
              <m:t>β</m:t>
            </m:r>
          </m:e>
          <m:sub>
            <m:r>
              <m:t>c</m:t>
            </m:r>
            <m:r>
              <m:t>D</m:t>
            </m:r>
            <m:r>
              <m:t>A</m:t>
            </m:r>
            <m:r>
              <m:t>I</m:t>
            </m:r>
          </m:sub>
        </m:sSub>
        <m:r>
          <m:rPr>
            <m:sty m:val="p"/>
          </m:rPr>
          <m:t>=</m:t>
        </m:r>
        <m:r>
          <m:rPr>
            <m:sty m:val="p"/>
          </m:rPr>
          <m:t>+</m:t>
        </m:r>
        <m:r>
          <m:t>0.003</m:t>
        </m:r>
      </m:oMath>
      <w:r>
        <w:t xml:space="preserve">,</w:t>
      </w:r>
      <w:r>
        <w:t xml:space="preserve"> </w:t>
      </w:r>
      <m:oMath>
        <m:r>
          <m:t>S</m:t>
        </m:r>
        <m:r>
          <m:t>E</m:t>
        </m:r>
        <m:r>
          <m:rPr>
            <m:sty m:val="p"/>
          </m:rPr>
          <m:t>=</m:t>
        </m:r>
        <m:r>
          <m:t>0.010</m:t>
        </m:r>
      </m:oMath>
      <w:r>
        <w:t xml:space="preserve">,</w:t>
      </w:r>
      <w:r>
        <w:t xml:space="preserve"> </w:t>
      </w:r>
      <m:oMath>
        <m:r>
          <m:t>p</m:t>
        </m:r>
        <m:r>
          <m:rPr>
            <m:sty m:val="p"/>
          </m:rPr>
          <m:t>=</m:t>
        </m:r>
        <m:r>
          <m:t>.744</m:t>
        </m:r>
      </m:oMath>
      <w:r>
        <w:t xml:space="preserve">);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Hm2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0.076]</w:t>
            </w:r>
          </w:p>
        </w:tc>
        <w:tc>
          <w:tcPr/>
          <w:p>
            <w:pPr>
              <w:pStyle w:val="Compact"/>
              <w:jc w:val="left"/>
            </w:pPr>
            <w:r>
              <w:t xml:space="preserve">0/287 đảo chiều</w:t>
            </w:r>
          </w:p>
        </w:tc>
        <w:tc>
          <w:tcPr/>
          <w:p>
            <w:pPr>
              <w:pStyle w:val="Compact"/>
              <w:jc w:val="left"/>
            </w:pPr>
            <w:r>
              <w:t xml:space="preserve">Không có outlier chi phối</w:t>
            </w:r>
          </w:p>
        </w:tc>
      </w:tr>
    </w:tbl>
    <w:p>
      <w:pPr>
        <w:pStyle w:val="BodyText"/>
      </w:pPr>
      <w:r>
        <w:t xml:space="preserve">Kết quả pooled estimate rất stable (range 0.060–0.077). Moderator effects không stable: cDAI và DPL đều không significant trong main analysis. ICRV marginal (p=.002) nhưng driven bởi FR anomaly (k=3).</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ICRV gradient marginal (Hm2</w:t>
      </w:r>
      <w:r>
        <w:t xml:space="preserve"> </w:t>
      </w:r>
      <w:r>
        <w:t xml:space="preserve">“</w:t>
      </w:r>
      <w:r>
        <w:t xml:space="preserve">partially supported</w:t>
      </w:r>
      <w:r>
        <w:t xml:space="preserve">”</w:t>
      </w:r>
      <w:r>
        <w:t xml:space="preserve">) nhưng không đơn điệu — FR anomaly (k=3) là nguồn chính của Q_M=17.35.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ba cấp tiết lộ rằng phần lớn variance trong I→P literature bắt nguồn từ between-study variance (</w:t>
      </w:r>
      <m:oMath>
        <m:sSubSup>
          <m:e>
            <m:r>
              <m:t>σ</m:t>
            </m:r>
          </m:e>
          <m:sub>
            <m:d>
              <m:dPr>
                <m:begChr m:val="("/>
                <m:endChr m:val=")"/>
                <m:sepChr m:val=""/>
                <m:grow/>
              </m:dPr>
              <m:e>
                <m:r>
                  <m:t>3</m:t>
                </m:r>
              </m:e>
            </m:d>
          </m:sub>
          <m:sup>
            <m:r>
              <m:t>2</m:t>
            </m:r>
          </m:sup>
        </m:sSubSup>
      </m:oMath>
      <w:r>
        <w:t xml:space="preserve">) chứ không phải within-study (</w:t>
      </w:r>
      <m:oMath>
        <m:sSubSup>
          <m:e>
            <m:r>
              <m:t>σ</m:t>
            </m:r>
          </m:e>
          <m:sub>
            <m:d>
              <m:dPr>
                <m:begChr m:val="("/>
                <m:endChr m:val=")"/>
                <m:sepChr m:val=""/>
                <m:grow/>
              </m:dPr>
              <m:e>
                <m:r>
                  <m:t>2</m:t>
                </m:r>
              </m:e>
            </m:d>
          </m:sub>
          <m:sup>
            <m:r>
              <m:t>2</m:t>
            </m:r>
          </m:sup>
        </m:sSubSup>
      </m:oMath>
      <w:r>
        <w:t xml:space="preserve">). Điều này có nghĩa là</w:t>
      </w:r>
      <w:r>
        <w:t xml:space="preserve"> </w:t>
      </w:r>
      <w:r>
        <w:rPr>
          <w:bCs/>
          <w:b/>
        </w:rPr>
        <w:t xml:space="preserve">bối cảnh quốc gia và thời gian</w:t>
      </w:r>
      <w:r>
        <w:t xml:space="preserve"> </w:t>
      </w:r>
      <w:r>
        <w:t xml:space="preserve">— không phải design methodological của từng study — là nguồn chính của heterogeneity. Hàm ý: các meta-analysis tương lai nên áp dụng three-level model để tránh underestimate</w:t>
      </w:r>
      <w:r>
        <w:t xml:space="preserve"> </w:t>
      </w:r>
      <m:oMath>
        <m:sSup>
          <m:e>
            <m:r>
              <m:t>I</m:t>
            </m:r>
          </m:e>
          <m:sup>
            <m:r>
              <m:t>2</m:t>
            </m:r>
          </m:sup>
        </m:sSup>
      </m:oMath>
      <w:r>
        <w:t xml:space="preserve">.</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marginal moderation</w:t>
      </w:r>
      <w:r>
        <w:t xml:space="preserve">: Q_M=17.35 (p=.002) marginal nhưng FR anomaly (k=3) là driver chính. Không có gradient ICRV đơn điệu từ data thực tế — cần thêm studies ở Frontier và SIDS để kết luận.</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(p=.744)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(k_imp=57) gợi ý nhiều negative findings về I→P không được công bố — cần incentivize null result publication</w:t>
      </w:r>
      <w:r>
        <w:t xml:space="preserve"> </w:t>
      </w:r>
      <w:r>
        <w:t xml:space="preserve">- Cải thiện institutional quality vẫn là yếu tố quan trọng (ICRV gradient marginal,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5-regime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ba cấp — một cải tiến quan trọng so với single-level pooling truyền thống. Kết quả cho thấy phần lớn</w:t>
      </w:r>
      <w:r>
        <w:t xml:space="preserve"> </w:t>
      </w:r>
      <m:oMath>
        <m:sSup>
          <m:e>
            <m:r>
              <m:t>I</m:t>
            </m:r>
          </m:e>
          <m:sup>
            <m:r>
              <m:t>2</m:t>
            </m:r>
          </m:sup>
        </m:sSup>
        <m:r>
          <m:rPr>
            <m:sty m:val="p"/>
          </m:rPr>
          <m:t>=</m:t>
        </m:r>
        <m:r>
          <m:t>87.92</m:t>
        </m:r>
        <m:r>
          <m:rPr>
            <m:sty m:val="p"/>
          </m:rPr>
          <m:t>%</m:t>
        </m:r>
      </m:oMath>
      <w:r>
        <w:t xml:space="preserve"> </w:t>
      </w:r>
      <w:r>
        <w:t xml:space="preserve">bắt nguồn từ between-study variance, xác nhận rằng</w:t>
      </w:r>
      <w:r>
        <w:t xml:space="preserve"> </w:t>
      </w:r>
      <w:r>
        <w:rPr>
          <w:bCs/>
          <w:b/>
        </w:rPr>
        <w:t xml:space="preserve">bối cảnh</w:t>
      </w:r>
      <w:r>
        <w:t xml:space="preserve"> </w:t>
      </w:r>
      <w:r>
        <w:t xml:space="preserve">là nguồn chính của heterogeneity I→P.</w:t>
      </w:r>
    </w:p>
    <w:p>
      <w:pPr>
        <w:pStyle w:val="BodyText"/>
      </w:pPr>
      <w:r>
        <w:t xml:space="preserve">Về lý thuyết, kết quả thực tế từ MARA (k=238, K=288) cho thấy: Hm2 (ICRV gradient) được ủng hộ một phần (Q_M=17.35, p=.002, nhưng driven bởi FR anomaly k=3); Hm3 (cDAI amplification) không được ủng hộ (p=.744); Hm4 (DPL evolution) không được ủng hộ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College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v2.0 (19/05/2026). NCS: Đỗ Thùy Hương. HD: PGS.TS. Phan Anh Tú. Trường Đại học Cần Thơ. Khoa Kinh tế. Chuyên ngành: Quản trị kinh doanh. Kết quả §4 từ</w:t>
      </w:r>
      <w:r>
        <w:rPr>
          <w:iCs/>
          <w:i/>
        </w:rPr>
        <w:t xml:space="preserve"> </w:t>
      </w:r>
      <w:r>
        <w:rPr>
          <w:rStyle w:val="VerbatimChar"/>
          <w:iCs/>
          <w:i/>
        </w:rPr>
        <w:t xml:space="preserve">p6_real_mara.R</w:t>
      </w:r>
      <w:r>
        <w:rPr>
          <w:iCs/>
          <w:i/>
        </w:rPr>
        <w:t xml:space="preserve"> </w:t>
      </w:r>
      <w:r>
        <w:rPr>
          <w:iCs/>
          <w:i/>
        </w:rPr>
        <w:t xml:space="preserve">(K=288, k=238). Database: S001–S238+ (baseline 113 từ ICBEF 2025 + S114–S175 backward scan + S176–S194 author papers + S195–S235 forward/supplementary screen + S236–S238 bổ sung 16/05/2026).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effect data:</w:t>
      </w:r>
      <w:r>
        <w:rPr>
          <w:iCs/>
          <w:i/>
        </w:rPr>
        <w:t xml:space="preserve"> </w:t>
      </w:r>
      <w:r>
        <w:rPr>
          <w:rStyle w:val="VerbatimChar"/>
          <w:iCs/>
          <w:i/>
        </w:rPr>
        <w:t xml:space="preserve">p6/results/forest_data.csv</w:t>
      </w:r>
      <w:r>
        <w:rPr>
          <w:iCs/>
          <w:i/>
        </w:rPr>
        <w:t xml:space="preserve"> </w:t>
      </w:r>
      <w:r>
        <w:rPr>
          <w:iCs/>
          <w:i/>
        </w:rPr>
        <w:t xml:space="preserve">(K=288); canonical tracker v2:</w:t>
      </w:r>
      <w:r>
        <w:rPr>
          <w:iCs/>
          <w:i/>
        </w:rPr>
        <w:t xml:space="preserve"> </w:t>
      </w:r>
      <w:r>
        <w:rPr>
          <w:rStyle w:val="VerbatimChar"/>
          <w:iCs/>
          <w:i/>
        </w:rPr>
        <w:t xml:space="preserve">p6/tools/results/fulltext_to_extraction_tracker_v2.csv</w:t>
      </w:r>
      <w:r>
        <w:rPr>
          <w:iCs/>
          <w:i/>
        </w:rPr>
        <w:t xml:space="preserve"> </w:t>
      </w:r>
      <w:r>
        <w:rPr>
          <w:iCs/>
          <w:i/>
        </w:rPr>
        <w:t xml:space="preserve">(435×58 cols; Y=435/N=100, UNSURE=0; extraction_priority: 310</w:t>
      </w:r>
      <w:r>
        <w:rPr>
          <w:iCs/>
          <w:i/>
        </w:rPr>
        <w:t xml:space="preserve"> </w:t>
      </w:r>
      <w:r>
        <w:rPr>
          <w:rStyle w:val="VerbatimChar"/>
          <w:iCs/>
          <w:i/>
        </w:rPr>
        <w:t xml:space="preserve">1_DOI_FIRST</w:t>
      </w:r>
      <w:r>
        <w:rPr>
          <w:iCs/>
          <w:i/>
        </w:rPr>
        <w:t xml:space="preserve"> </w:t>
      </w:r>
      <w:r>
        <w:rPr>
          <w:iCs/>
          <w:i/>
        </w:rPr>
        <w:t xml:space="preserve">+ 125</w:t>
      </w:r>
      <w:r>
        <w:rPr>
          <w:iCs/>
          <w:i/>
        </w:rPr>
        <w:t xml:space="preserve"> </w:t>
      </w:r>
      <w:r>
        <w:rPr>
          <w:rStyle w:val="VerbatimChar"/>
          <w:iCs/>
          <w:i/>
        </w:rPr>
        <w:t xml:space="preserve">2_NO_DOI_MANUAL</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2026-05-25T07:54:19Z</dcterms:created>
  <dcterms:modified xsi:type="dcterms:W3CDTF">2026-05-25T07:54:19Z</dcterms:modified>
</cp:coreProperties>
</file>

<file path=docProps/custom.xml><?xml version="1.0" encoding="utf-8"?>
<Properties xmlns="http://schemas.openxmlformats.org/officeDocument/2006/custom-properties" xmlns:vt="http://schemas.openxmlformats.org/officeDocument/2006/docPropsVTypes"/>
</file>