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 to 2025 institutional and digital transformation decade (demonetisation, GST, IBC, UPI, PLI, Atmanirbhar Bharat),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for India (2014 PICS3, 2022 BEE, 2025 BREADY; analytic N = 28,717) are estimated by OLS with HC1 robust standard errors, quadratic FSTS terms, and capability interactions. Lind–Mehlum U-tests verify the inverted-U per wave; Paternoster z-tests evaluate 2014-versus-2025 coefficient equality; the 2022 wave provides 3-wave robustness; UPI rollout (April 2016) supplies a quasi-experiment for digital saturation.</w:t>
      </w:r>
    </w:p>
    <w:p>
      <w:pPr>
        <w:pStyle w:val="BodyText"/>
      </w:pPr>
      <w:r>
        <w:rPr>
          <w:bCs/>
          <w:b/>
        </w:rPr>
        <w:t xml:space="preserve">Findings.</w:t>
      </w:r>
      <w:r>
        <w:t xml:space="preserve"> </w:t>
      </w:r>
      <w:r>
        <w:t xml:space="preserve">The inverted-U structurally collapses. The turning point migrates from FSTS = 61.8 per cent (2014) to 40.7 per cent (2022); by 2025 the curvature term is insignificant (β₂ = −0.16, p = 0.42) and the relationship is monotonically negative. Paternoster z-tests reject coefficient equality for the linear (z = −7.94) and quadratic (z = +4.17) terms (both p &lt; 0.0001). The UPI Tier-2 e-payment interaction is negative (FSTS × DAI_epay = −4.02, p = 0.004), indicating domestic-rupee digital infrastructure does not substitute for the cross-border financial infrastructure exporters require.</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linear DOI, FGLS, 380 matched firms) is acknowledged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2026-06-09T08:58:15Z</dcterms:created>
  <dcterms:modified xsi:type="dcterms:W3CDTF">2026-06-09T08:58:15Z</dcterms:modified>
</cp:coreProperties>
</file>

<file path=docProps/custom.xml><?xml version="1.0" encoding="utf-8"?>
<Properties xmlns="http://schemas.openxmlformats.org/officeDocument/2006/custom-properties" xmlns:vt="http://schemas.openxmlformats.org/officeDocument/2006/docPropsVTypes"/>
</file>