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57.png" ContentType="image/png"/>
  <Override PartName="/word/media/rId72.png" ContentType="image/png"/>
  <Override PartName="/word/media/rId66.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4e4a3246bc11b3462ce47e63ec5f91058e1a53"/>
    <w:p>
      <w:pPr>
        <w:pStyle w:val="Heading1"/>
      </w:pPr>
      <w:r>
        <w:t xml:space="preserve">CHUYÊN ĐỀ TIẾN SĨ SỐ 1 — BẢN NHÁP ĐẦY ĐỦ (PHẦN 1: BÌA, TÓM TẮT, CHƯƠNG 1–3)</w:t>
      </w:r>
    </w:p>
    <w:p>
      <w:pPr>
        <w:pStyle w:val="BlockText"/>
      </w:pPr>
      <w:r>
        <w:t xml:space="preserve">Căn cứ Quyết định số 4768/QĐ-ĐHCT ngày 15/10/2024 (giao chuyên đề); Quyết định số 4769/QĐ-ĐHCT ngày 15/10/2024 (tên luận án — "Châu Á").</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p>
    <w:p>
      <w:r>
        <w:pict>
          <v:rect style="width:0;height:1.5pt" o:hralign="center" o:hrstd="t" o:hr="t"/>
        </w:pict>
      </w:r>
    </w:p>
    <w:bookmarkStart w:id="20"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0"/>
    <w:bookmarkStart w:id="21" w:name="lời-cam-đoan"/>
    <w:p>
      <w:pPr>
        <w:pStyle w:val="Heading2"/>
      </w:pPr>
      <w:r>
        <w:t xml:space="preserve">LỜI CAM ĐOAN</w:t>
      </w:r>
    </w:p>
    <w:p>
      <w:pPr>
        <w:pStyle w:val="FirstParagraph"/>
      </w:pPr>
      <w:r>
        <w:t xml:space="preserve">Tôi xin cam đoan chuyên đề tiến sĩ số 1 với tiêu đề "Thực trạng về hiệu quả hoạt động kinh doanh của các doanh nghiệp ở Châu Á" 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1"/>
    <w:bookmarkStart w:id="22" w:name="tóm-tắt"/>
    <w:p>
      <w:pPr>
        <w:pStyle w:val="Heading2"/>
      </w:pPr>
      <w:r>
        <w:t xml:space="preserve">TÓM TẮT</w:t>
      </w:r>
    </w:p>
    <w:p>
      <w:pPr>
        <w:pStyle w:val="FirstParagraph"/>
      </w:pPr>
      <w:r>
        <w:rPr>
          <w:bCs/>
          <w:b/>
        </w:rPr>
        <w:t xml:space="preserve">Mục đích.</w:t>
      </w:r>
      <w:r>
        <w:t xml:space="preserve"> </w:t>
      </w:r>
      <w:r>
        <w:t xml:space="preserve">Chuyên đề thực hiện phân tích mô tả-chẩn đoán thực trạng hiệu quả hoạt động kinh doanh của doanh nghiệp ở các nền kinh tế châu Á trong giai đoạn 2009-2025, đồng thời mở rộng so sánh với các Quốc đảo nhỏ Thái Bình Dương như trường hợp biên. Mục tiêu là nhận diện các mẫu hình điển hình về năng suất, lợi nhuận, tăng trưởng và đổi mới qua sáu phân nhóm chế độ thể chế, từ đó định hướng giả thuyết cho mô hình thực nghiệm trong Chuyên đề tiến sĩ số 2.</w:t>
      </w:r>
    </w:p>
    <w:p>
      <w:pPr>
        <w:pStyle w:val="BodyText"/>
      </w:pPr>
      <w:r>
        <w:rPr>
          <w:bCs/>
          <w:b/>
        </w:rPr>
        <w:t xml:space="preserve">Thiết kế / phương pháp luận / cách tiếp cận.</w:t>
      </w:r>
      <w:r>
        <w:t xml:space="preserve"> </w:t>
      </w:r>
      <w:r>
        <w:t xml:space="preserve">Chuyên đề sử dụng dữ liệu vi mô gộp gồm 101.185 doanh nghiệp, 108 cặp quốc gia-năm và 14 mốc khảo sát từ Khảo sát Doanh nghiệp của Ngân hàng Thế giới, bao trùm 47 nền kinh tế phân loại thành sáu phân nhóm theo khung Biến thiên Chế độ Thể chế (Institutional Context Regime Variation, ICRV): Tiên tiến đổi mới sáng tạo dẫn dắt, Tiên tiến tài nguyên dẫn dắt, Thu nhập trung bình cao, Mới nổi, Cận biên, và Quốc đảo nhỏ Thái Bình Dương. Phương pháp chủ đạo là thống kê mô tả đa chiều kết hợp đồ thị, bảng so sánh xuyên quốc gia-xuyên ngành và phân tích hai biến trên bốn chiều hiệu quả: năng suất lao động, lợi nhuận và biên lợi nhuận, tăng trưởng, đổi mới và cấu trúc doanh nghiệp.</w:t>
      </w:r>
    </w:p>
    <w:p>
      <w:pPr>
        <w:pStyle w:val="BodyText"/>
      </w:pPr>
      <w:r>
        <w:rPr>
          <w:bCs/>
          <w:b/>
        </w:rPr>
        <w:t xml:space="preserve">Kết quả nghiên cứu.</w:t>
      </w:r>
      <w:r>
        <w:t xml:space="preserve"> </w:t>
      </w:r>
      <w:r>
        <w:t xml:space="preserve">Hiệu quả doanh nghiệp châu Á có phân tán lớn và không hội tụ qua giai đoạn 2009-2025. Bảy tiểu cảnh điển hình tồn tại đồng thời, gồm Singapore, Vùng Vịnh (Saudi Arabia, Qatar, Kuwait), Việt Nam, Trung Quốc, Đông Á-Đông Nam Á mới nổi rộng hơn, Mông Cổ trong phạm vi chính, cùng các Quốc đảo nhỏ Thái Bình Dương như trường hợp biên, với các điểm mạnh hiệu quả khác biệt. Tương quan giữa các yếu tố giải thích sơ bộ và hiệu quả thay đổi dấu và cường độ giữa các phân nhóm thể chế, đặc biệt bốn lần đảo dấu của hệ số FDI/FSTS/TCI/DAI xuyên năm phân nhóm chính, gợi ý sự cần thiết của các mô hình phi tuyến và điều tiết đa tầng. Phát hiện hai phân nhóm con trong chế độ Tiên tiến (đổi mới sáng tạo so với tài nguyên dẫn dắt) và xác nhận mẫu hình chi phí buộc phải quốc tế hoá ở các Quốc đảo Thái Bình Dương.</w:t>
      </w:r>
    </w:p>
    <w:p>
      <w:pPr>
        <w:pStyle w:val="BodyText"/>
      </w:pPr>
      <w:r>
        <w:rPr>
          <w:bCs/>
          <w:b/>
        </w:rPr>
        <w:t xml:space="preserve">Tính mới / đóng góp.</w:t>
      </w:r>
      <w:r>
        <w:t xml:space="preserve"> </w:t>
      </w:r>
      <w:r>
        <w:t xml:space="preserve">Chuyên đề đóng góp ba điểm cho tài liệu kinh doanh quốc tế ở thị trường mới nổi: thứ nhất, mở rộng phạm vi mẫu so với các tổng hợp châu Á trước đây lên 47 nền kinh tế và 14 đợt khảo sát; thứ hai, phân tách phân nhóm Tiên tiến theo cơ chế tăng trưởng, một đóng góp lý thuyết kiểu Varieties of Capitalism cho bối cảnh châu Á; thứ ba, thiết lập trường hợp biên Thái Bình Dương cho lý thuyết chữ U ngược Lu-Beamish, định hướng giả thuyết H6 cho Chuyên đề tiến sĩ số 2.</w:t>
      </w:r>
    </w:p>
    <w:p>
      <w:pPr>
        <w:pStyle w:val="BodyText"/>
      </w:pPr>
      <w:r>
        <w:rPr>
          <w:bCs/>
          <w:b/>
        </w:rPr>
        <w:t xml:space="preserve">Từ khoá:</w:t>
      </w:r>
      <w:r>
        <w:t xml:space="preserve"> </w:t>
      </w:r>
      <w:r>
        <w:t xml:space="preserve">hiệu quả doanh nghiệp; châu Á; Khảo sát Doanh nghiệp của Ngân hàng Thế giới; năng suất lao động; phân nhóm con Tiên tiến; trường hợp biên Thái Bình Dương; Biến thiên Chế độ Thể chế.</w:t>
      </w:r>
    </w:p>
    <w:p>
      <w:pPr>
        <w:pStyle w:val="BodyText"/>
      </w:pPr>
      <w:r>
        <w:rPr>
          <w:bCs/>
          <w:b/>
        </w:rPr>
        <w:t xml:space="preserve">Phân loại JEL:</w:t>
      </w:r>
      <w:r>
        <w:t xml:space="preserve"> </w:t>
      </w:r>
      <w:r>
        <w:t xml:space="preserve">F23; O53; L25; D22; O19.</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2"/>
    <w:bookmarkStart w:id="23" w:name="abstract"/>
    <w:p>
      <w:pPr>
        <w:pStyle w:val="Heading2"/>
      </w:pPr>
      <w:r>
        <w:t xml:space="preserve">ABSTRACT</w:t>
      </w:r>
    </w:p>
    <w:p>
      <w:pPr>
        <w:pStyle w:val="FirstParagraph"/>
      </w:pPr>
      <w:r>
        <w:rPr>
          <w:bCs/>
          <w:b/>
        </w:rPr>
        <w:t xml:space="preserve">Purpose.</w:t>
      </w:r>
      <w:r>
        <w:t xml:space="preserve"> </w:t>
      </w:r>
      <w:r>
        <w:t xml:space="preserve">This specialty essay conducts a descriptive-diagnostic analysis of the firm-performance landscape across Asian economies during 2009-2025, with comparative extension to Pacific Small Island Developing States as a boundary case. The aim is to identify stylised patterns in productivity, profitability, growth, and innovation across six institutional sub-regimes, thereby orienting hypothesis development for the empirical model in Specialty Essay 2.</w:t>
      </w:r>
    </w:p>
    <w:p>
      <w:pPr>
        <w:pStyle w:val="BodyText"/>
      </w:pPr>
      <w:r>
        <w:rPr>
          <w:bCs/>
          <w:b/>
        </w:rPr>
        <w:t xml:space="preserve">Design/methodology/approach.</w:t>
      </w:r>
      <w:r>
        <w:t xml:space="preserve"> </w:t>
      </w:r>
      <w:r>
        <w:t xml:space="preserve">The study uses a pooled microdata set of 101,185 firms, 108 country-year pairs, and 14 survey waves from the World Bank Enterprise Surveys covering 47 economies, classified by the Institutional Context Regime Variation (ICRV) framework into six sub-regimes: Advanced innovation-driven, Advanced resource-driven, Upper-middle, Emerging, Frontier, and Pacific SIDS. The primary method combines multidimensional descriptive statistics with charts, cross-country and cross-industry comparison tables, and bivariate analyses on four performance dimensions: labour productivity, profitability and margins, growth, and innovation and structural composition.</w:t>
      </w:r>
    </w:p>
    <w:p>
      <w:pPr>
        <w:pStyle w:val="BodyText"/>
      </w:pPr>
      <w:r>
        <w:rPr>
          <w:bCs/>
          <w:b/>
        </w:rPr>
        <w:t xml:space="preserve">Findings.</w:t>
      </w:r>
      <w:r>
        <w:t xml:space="preserve"> </w:t>
      </w:r>
      <w:r>
        <w:t xml:space="preserve">Firm performance across Asian economies exhibits substantial and persistent dispersion with no convergence pattern over 2009-2025. Seven salient archetypes coexist with distinct performance strengths: Singapore, the Gulf trio of Saudi Arabia, Qatar, and Kuwait, Vietnam, China, broader Emerging East and Southeast Asia, and Mongolia within the primary scope, together with Pacific SIDS as boundary case. Bivariate correlations between candidate explanatory factors and performance vary in sign and magnitude across regimes; in particular, four sign reversals in the foreign direct investment, export intensity, technological capability, and digital adoption coefficients across the five primary sub-regimes suggest the need for nonlinear and multi-level moderation models. The essay identifies a sub-grouping of the Advanced regime into innovation-driven and resource-driven types and confirms the forced-internationalisation-penalty pattern in Pacific SIDS.</w:t>
      </w:r>
    </w:p>
    <w:p>
      <w:pPr>
        <w:pStyle w:val="BodyText"/>
      </w:pPr>
      <w:r>
        <w:rPr>
          <w:bCs/>
          <w:b/>
        </w:rPr>
        <w:t xml:space="preserve">Originality/value.</w:t>
      </w:r>
      <w:r>
        <w:t xml:space="preserve"> </w:t>
      </w:r>
      <w:r>
        <w:t xml:space="preserve">The essay contributes to emerging-market international business research in three ways: it extends the sample frame of prior Asian pooled studies to 47 economies and 14 survey waves; it splits the Advanced regime by growth mechanism, a theoretical contribution in the Varieties-of-Capitalism tradition adapted to Asia; and it establishes the Pacific boundary case as a stress-test for the Lu-Beamish inverted-U logic, orienting hypothesis H6 for Specialty Essay 2.</w:t>
      </w:r>
    </w:p>
    <w:p>
      <w:pPr>
        <w:pStyle w:val="BodyText"/>
      </w:pPr>
      <w:r>
        <w:rPr>
          <w:bCs/>
          <w:b/>
        </w:rPr>
        <w:t xml:space="preserve">Keywords:</w:t>
      </w:r>
      <w:r>
        <w:t xml:space="preserve"> </w:t>
      </w:r>
      <w:r>
        <w:t xml:space="preserve">firm performance; Asia; World Bank Enterprise Surveys; labour productivity; Advanced sub-grouping; Pacific boundary case; Institutional Context Regime Variation.</w:t>
      </w:r>
    </w:p>
    <w:p>
      <w:pPr>
        <w:pStyle w:val="BodyText"/>
      </w:pPr>
      <w:r>
        <w:rPr>
          <w:bCs/>
          <w:b/>
        </w:rPr>
        <w:t xml:space="preserve">JEL Classification:</w:t>
      </w:r>
      <w:r>
        <w:t xml:space="preserve"> </w:t>
      </w:r>
      <w:r>
        <w:t xml:space="preserve">F23; O53; L25; D22; O19.</w:t>
      </w:r>
    </w:p>
    <w:p>
      <w:pPr>
        <w:pStyle w:val="BodyText"/>
      </w:pPr>
      <w:r>
        <w:rPr>
          <w:bCs/>
          <w:b/>
        </w:rPr>
        <w:t xml:space="preserve">Paper type:</w:t>
      </w:r>
      <w:r>
        <w:t xml:space="preserve"> </w:t>
      </w:r>
      <w:r>
        <w:t xml:space="preserve">Doctoral specialty essay.</w:t>
      </w:r>
    </w:p>
    <w:p>
      <w:r>
        <w:pict>
          <v:rect style="width:0;height:1.5pt" o:hralign="center" o:hrstd="t" o:hr="t"/>
        </w:pict>
      </w:r>
    </w:p>
    <w:bookmarkEnd w:id="23"/>
    <w:bookmarkStart w:id="24"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4"/>
    <w:bookmarkStart w:id="25" w:name="danh-mục-bảng"/>
    <w:p>
      <w:pPr>
        <w:pStyle w:val="Heading2"/>
      </w:pPr>
      <w:r>
        <w:t xml:space="preserve">DANH MỤC BẢNG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2.6.1</w:t>
            </w:r>
          </w:p>
        </w:tc>
        <w:tc>
          <w:tcPr/>
          <w:p>
            <w:pPr>
              <w:pStyle w:val="Compact"/>
              <w:jc w:val="left"/>
            </w:pPr>
            <w:r>
              <w:t xml:space="preserve">Ma trận đối chiếu 3 trạng thái U-curve theo 3 điều kiện cấu trúc</w:t>
            </w:r>
          </w:p>
        </w:tc>
        <w:tc>
          <w:tcPr/>
          <w:p>
            <w:pPr>
              <w:pStyle w:val="Compact"/>
              <w:jc w:val="left"/>
            </w:pPr>
            <w:r>
              <w:t xml:space="preserve">Ch.2</w:t>
            </w:r>
          </w:p>
        </w:tc>
      </w:tr>
      <w:tr>
        <w:tc>
          <w:tcPr/>
          <w:p>
            <w:pPr>
              <w:pStyle w:val="Compact"/>
              <w:jc w:val="left"/>
            </w:pPr>
            <w:r>
              <w:t xml:space="preserve">Bảng 3.1</w:t>
            </w:r>
          </w:p>
        </w:tc>
        <w:tc>
          <w:tcPr/>
          <w:p>
            <w:pPr>
              <w:pStyle w:val="Compact"/>
              <w:jc w:val="left"/>
            </w:pPr>
            <w:r>
              <w:t xml:space="preserve">47 nền kinh tế phân theo 6 nhóm ICRV</w:t>
            </w:r>
          </w:p>
        </w:tc>
        <w:tc>
          <w:tcPr/>
          <w:p>
            <w:pPr>
              <w:pStyle w:val="Compact"/>
              <w:jc w:val="left"/>
            </w:pPr>
            <w:r>
              <w:t xml:space="preserve">Ch.3</w:t>
            </w:r>
          </w:p>
        </w:tc>
      </w:tr>
      <w:tr>
        <w:tc>
          <w:tcPr/>
          <w:p>
            <w:pPr>
              <w:pStyle w:val="Compact"/>
              <w:jc w:val="left"/>
            </w:pPr>
            <w:r>
              <w:t xml:space="preserve">Bảng 3.2</w:t>
            </w:r>
          </w:p>
        </w:tc>
        <w:tc>
          <w:tcPr/>
          <w:p>
            <w:pPr>
              <w:pStyle w:val="Compact"/>
              <w:jc w:val="left"/>
            </w:pPr>
            <w:r>
              <w:t xml:space="preserve">Đặc điểm các nhóm ICRV (tiêu chí + đại diện + pattern dự kiến)</w:t>
            </w:r>
          </w:p>
        </w:tc>
        <w:tc>
          <w:tcPr/>
          <w:p>
            <w:pPr>
              <w:pStyle w:val="Compact"/>
              <w:jc w:val="left"/>
            </w:pPr>
            <w:r>
              <w:t xml:space="preserve">Ch.3</w:t>
            </w:r>
          </w:p>
        </w:tc>
      </w:tr>
      <w:tr>
        <w:tc>
          <w:tcPr/>
          <w:p>
            <w:pPr>
              <w:pStyle w:val="Compact"/>
              <w:jc w:val="left"/>
            </w:pPr>
            <w:r>
              <w:t xml:space="preserve">Bảng 4.1</w:t>
            </w:r>
          </w:p>
        </w:tc>
        <w:tc>
          <w:tcPr/>
          <w:p>
            <w:pPr>
              <w:pStyle w:val="Compact"/>
              <w:jc w:val="left"/>
            </w:pPr>
            <w:r>
              <w:t xml:space="preserve">Phân tán năng suất lao động theo phân nhóm con thể chế</w:t>
            </w:r>
          </w:p>
        </w:tc>
        <w:tc>
          <w:tcPr/>
          <w:p>
            <w:pPr>
              <w:pStyle w:val="Compact"/>
              <w:jc w:val="left"/>
            </w:pPr>
            <w:r>
              <w:t xml:space="preserve">Ch.4</w:t>
            </w:r>
          </w:p>
        </w:tc>
      </w:tr>
      <w:tr>
        <w:tc>
          <w:tcPr/>
          <w:p>
            <w:pPr>
              <w:pStyle w:val="Compact"/>
              <w:jc w:val="left"/>
            </w:pPr>
            <w:r>
              <w:t xml:space="preserve">Bảng 4.3</w:t>
            </w:r>
          </w:p>
        </w:tc>
        <w:tc>
          <w:tcPr/>
          <w:p>
            <w:pPr>
              <w:pStyle w:val="Compact"/>
              <w:jc w:val="left"/>
            </w:pPr>
            <w:r>
              <w:t xml:space="preserve">FSTS, doanh nghiệp xuất khẩu và CAGR việc làm theo phân nhóm con</w:t>
            </w:r>
          </w:p>
        </w:tc>
        <w:tc>
          <w:tcPr/>
          <w:p>
            <w:pPr>
              <w:pStyle w:val="Compact"/>
              <w:jc w:val="left"/>
            </w:pPr>
            <w:r>
              <w:t xml:space="preserve">Ch.4</w:t>
            </w:r>
          </w:p>
        </w:tc>
      </w:tr>
      <w:tr>
        <w:tc>
          <w:tcPr/>
          <w:p>
            <w:pPr>
              <w:pStyle w:val="Compact"/>
              <w:jc w:val="left"/>
            </w:pPr>
            <w:r>
              <w:t xml:space="preserve">Bảng 4.4</w:t>
            </w:r>
          </w:p>
        </w:tc>
        <w:tc>
          <w:tcPr/>
          <w:p>
            <w:pPr>
              <w:pStyle w:val="Compact"/>
              <w:jc w:val="left"/>
            </w:pPr>
            <w:r>
              <w:t xml:space="preserve">Đổi mới sáng tạo và áp dụng số (%)</w:t>
            </w:r>
          </w:p>
        </w:tc>
        <w:tc>
          <w:tcPr/>
          <w:p>
            <w:pPr>
              <w:pStyle w:val="Compact"/>
              <w:jc w:val="left"/>
            </w:pPr>
            <w:r>
              <w:t xml:space="preserve">Ch.4</w:t>
            </w:r>
          </w:p>
        </w:tc>
      </w:tr>
      <w:tr>
        <w:tc>
          <w:tcPr/>
          <w:p>
            <w:pPr>
              <w:pStyle w:val="Compact"/>
              <w:jc w:val="left"/>
            </w:pPr>
            <w:r>
              <w:t xml:space="preserve">Bảng 4.4.0</w:t>
            </w:r>
          </w:p>
        </w:tc>
        <w:tc>
          <w:tcPr/>
          <w:p>
            <w:pPr>
              <w:pStyle w:val="Compact"/>
              <w:jc w:val="left"/>
            </w:pPr>
            <w:r>
              <w:t xml:space="preserve">Khung 5 lĩnh vực chỉ số WBES</w:t>
            </w:r>
          </w:p>
        </w:tc>
        <w:tc>
          <w:tcPr/>
          <w:p>
            <w:pPr>
              <w:pStyle w:val="Compact"/>
              <w:jc w:val="left"/>
            </w:pPr>
            <w:r>
              <w:t xml:space="preserve">Ch.4</w:t>
            </w:r>
          </w:p>
        </w:tc>
      </w:tr>
      <w:tr>
        <w:tc>
          <w:tcPr/>
          <w:p>
            <w:pPr>
              <w:pStyle w:val="Compact"/>
              <w:jc w:val="left"/>
            </w:pPr>
            <w:r>
              <w:t xml:space="preserve">Bảng 4.5</w:t>
            </w:r>
          </w:p>
        </w:tc>
        <w:tc>
          <w:tcPr/>
          <w:p>
            <w:pPr>
              <w:pStyle w:val="Compact"/>
              <w:jc w:val="left"/>
            </w:pPr>
            <w:r>
              <w:t xml:space="preserve">Cấu trúc doanh nghiệp theo phân nhóm con (%)</w:t>
            </w:r>
          </w:p>
        </w:tc>
        <w:tc>
          <w:tcPr/>
          <w:p>
            <w:pPr>
              <w:pStyle w:val="Compact"/>
              <w:jc w:val="left"/>
            </w:pPr>
            <w:r>
              <w:t xml:space="preserve">Ch.4</w:t>
            </w:r>
          </w:p>
        </w:tc>
      </w:tr>
      <w:tr>
        <w:tc>
          <w:tcPr/>
          <w:p>
            <w:pPr>
              <w:pStyle w:val="Compact"/>
              <w:jc w:val="left"/>
            </w:pPr>
            <w:r>
              <w:t xml:space="preserve">Bảng 4.5.5</w:t>
            </w:r>
          </w:p>
        </w:tc>
        <w:tc>
          <w:tcPr/>
          <w:p>
            <w:pPr>
              <w:pStyle w:val="Compact"/>
              <w:jc w:val="left"/>
            </w:pPr>
            <w:r>
              <w:t xml:space="preserve">Bốn rào cản hàng đầu Asia-Pacific WBES</w:t>
            </w:r>
          </w:p>
        </w:tc>
        <w:tc>
          <w:tcPr/>
          <w:p>
            <w:pPr>
              <w:pStyle w:val="Compact"/>
              <w:jc w:val="left"/>
            </w:pPr>
            <w:r>
              <w:t xml:space="preserve">Ch.4</w:t>
            </w:r>
          </w:p>
        </w:tc>
      </w:tr>
      <w:tr>
        <w:tc>
          <w:tcPr/>
          <w:p>
            <w:pPr>
              <w:pStyle w:val="Compact"/>
              <w:jc w:val="left"/>
            </w:pPr>
            <w:r>
              <w:t xml:space="preserve">Bảng 4.6</w:t>
            </w:r>
          </w:p>
        </w:tc>
        <w:tc>
          <w:tcPr/>
          <w:p>
            <w:pPr>
              <w:pStyle w:val="Compact"/>
              <w:jc w:val="left"/>
            </w:pPr>
            <w:r>
              <w:t xml:space="preserve">Thay đổi theo thời gian — Δ điểm phần trăm 2018–2025 so với 2009–2012</w:t>
            </w:r>
          </w:p>
        </w:tc>
        <w:tc>
          <w:tcPr/>
          <w:p>
            <w:pPr>
              <w:pStyle w:val="Compact"/>
              <w:jc w:val="left"/>
            </w:pPr>
            <w:r>
              <w:t xml:space="preserve">Ch.4</w:t>
            </w:r>
          </w:p>
        </w:tc>
      </w:tr>
      <w:tr>
        <w:tc>
          <w:tcPr/>
          <w:p>
            <w:pPr>
              <w:pStyle w:val="Compact"/>
              <w:jc w:val="left"/>
            </w:pPr>
            <w:r>
              <w:t xml:space="preserve">Bảng 4.7.5</w:t>
            </w:r>
          </w:p>
        </w:tc>
        <w:tc>
          <w:tcPr/>
          <w:p>
            <w:pPr>
              <w:pStyle w:val="Compact"/>
              <w:jc w:val="left"/>
            </w:pPr>
            <w:r>
              <w:t xml:space="preserve">Phân biệt 3 chỉ số tham nhũng WBES — Bribery vs Graft</w:t>
            </w:r>
          </w:p>
        </w:tc>
        <w:tc>
          <w:tcPr/>
          <w:p>
            <w:pPr>
              <w:pStyle w:val="Compact"/>
              <w:jc w:val="left"/>
            </w:pPr>
            <w:r>
              <w:t xml:space="preserve">Ch.4</w:t>
            </w:r>
          </w:p>
        </w:tc>
      </w:tr>
      <w:tr>
        <w:tc>
          <w:tcPr/>
          <w:p>
            <w:pPr>
              <w:pStyle w:val="Compact"/>
              <w:jc w:val="left"/>
            </w:pPr>
            <w:r>
              <w:t xml:space="preserve">Bảng 4.8.1</w:t>
            </w:r>
          </w:p>
        </w:tc>
        <w:tc>
          <w:tcPr/>
          <w:p>
            <w:pPr>
              <w:pStyle w:val="Compact"/>
              <w:jc w:val="left"/>
            </w:pPr>
            <w:r>
              <w:t xml:space="preserve">Khung phân loại 9 ngành ISIC Rev. 4 cho nhóm dữ liệu WBES</w:t>
            </w:r>
          </w:p>
        </w:tc>
        <w:tc>
          <w:tcPr/>
          <w:p>
            <w:pPr>
              <w:pStyle w:val="Compact"/>
              <w:jc w:val="left"/>
            </w:pPr>
            <w:r>
              <w:t xml:space="preserve">Ch.4</w:t>
            </w:r>
          </w:p>
        </w:tc>
      </w:tr>
      <w:tr>
        <w:tc>
          <w:tcPr/>
          <w:p>
            <w:pPr>
              <w:pStyle w:val="Compact"/>
              <w:jc w:val="left"/>
            </w:pPr>
            <w:r>
              <w:t xml:space="preserve">Bảng 4.9</w:t>
            </w:r>
          </w:p>
        </w:tc>
        <w:tc>
          <w:tcPr/>
          <w:p>
            <w:pPr>
              <w:pStyle w:val="Compact"/>
              <w:jc w:val="left"/>
            </w:pPr>
            <w:r>
              <w:t xml:space="preserve">Phân nhóm con Emerging, số liệu tổng hợp 2009–2025</w:t>
            </w:r>
          </w:p>
        </w:tc>
        <w:tc>
          <w:tcPr/>
          <w:p>
            <w:pPr>
              <w:pStyle w:val="Compact"/>
              <w:jc w:val="left"/>
            </w:pPr>
            <w:r>
              <w:t xml:space="preserve">Ch.4</w:t>
            </w:r>
          </w:p>
        </w:tc>
      </w:tr>
      <w:tr>
        <w:tc>
          <w:tcPr/>
          <w:p>
            <w:pPr>
              <w:pStyle w:val="Compact"/>
              <w:jc w:val="left"/>
            </w:pPr>
            <w:r>
              <w:t xml:space="preserve">Bảng 4.10</w:t>
            </w:r>
          </w:p>
        </w:tc>
        <w:tc>
          <w:tcPr/>
          <w:p>
            <w:pPr>
              <w:pStyle w:val="Compact"/>
              <w:jc w:val="left"/>
            </w:pPr>
            <w:r>
              <w:t xml:space="preserve">14 quốc gia trong đợt khảo sát 2025</w:t>
            </w:r>
          </w:p>
        </w:tc>
        <w:tc>
          <w:tcPr/>
          <w:p>
            <w:pPr>
              <w:pStyle w:val="Compact"/>
              <w:jc w:val="left"/>
            </w:pPr>
            <w:r>
              <w:t xml:space="preserve">Ch.4</w:t>
            </w:r>
          </w:p>
        </w:tc>
      </w:tr>
      <w:tr>
        <w:tc>
          <w:tcPr/>
          <w:p>
            <w:pPr>
              <w:pStyle w:val="Compact"/>
              <w:jc w:val="left"/>
            </w:pPr>
            <w:r>
              <w:t xml:space="preserve">Bảng 5.1</w:t>
            </w:r>
          </w:p>
        </w:tc>
        <w:tc>
          <w:tcPr/>
          <w:p>
            <w:pPr>
              <w:pStyle w:val="Compact"/>
              <w:jc w:val="left"/>
            </w:pPr>
            <w:r>
              <w:t xml:space="preserve">Ma trận so sánh đa chiều bảy tiểu cảnh điển hình</w:t>
            </w:r>
          </w:p>
        </w:tc>
        <w:tc>
          <w:tcPr/>
          <w:p>
            <w:pPr>
              <w:pStyle w:val="Compact"/>
              <w:jc w:val="left"/>
            </w:pPr>
            <w:r>
              <w:t xml:space="preserve">Ch.5</w:t>
            </w:r>
          </w:p>
        </w:tc>
      </w:tr>
      <w:tr>
        <w:tc>
          <w:tcPr/>
          <w:p>
            <w:pPr>
              <w:pStyle w:val="Compact"/>
              <w:jc w:val="left"/>
            </w:pPr>
            <w:r>
              <w:t xml:space="preserve">Bảng 6.1</w:t>
            </w:r>
          </w:p>
        </w:tc>
        <w:tc>
          <w:tcPr/>
          <w:p>
            <w:pPr>
              <w:pStyle w:val="Compact"/>
              <w:jc w:val="left"/>
            </w:pPr>
            <w:r>
              <w:t xml:space="preserve">Hệ số tương quan Pearson (n=101.185)</w:t>
            </w:r>
          </w:p>
        </w:tc>
        <w:tc>
          <w:tcPr/>
          <w:p>
            <w:pPr>
              <w:pStyle w:val="Compact"/>
              <w:jc w:val="left"/>
            </w:pPr>
            <w:r>
              <w:t xml:space="preserve">Ch.6</w:t>
            </w:r>
          </w:p>
        </w:tc>
      </w:tr>
      <w:tr>
        <w:tc>
          <w:tcPr/>
          <w:p>
            <w:pPr>
              <w:pStyle w:val="Compact"/>
              <w:jc w:val="left"/>
            </w:pPr>
            <w:r>
              <w:t xml:space="preserve">Bảng 6.1.1</w:t>
            </w:r>
          </w:p>
        </w:tc>
        <w:tc>
          <w:tcPr/>
          <w:p>
            <w:pPr>
              <w:pStyle w:val="Compact"/>
              <w:jc w:val="left"/>
            </w:pPr>
            <w:r>
              <w:t xml:space="preserve">Pattern giới tính trong TMT + ownership, phân tầng theo khu vực</w:t>
            </w:r>
          </w:p>
        </w:tc>
        <w:tc>
          <w:tcPr/>
          <w:p>
            <w:pPr>
              <w:pStyle w:val="Compact"/>
              <w:jc w:val="left"/>
            </w:pPr>
            <w:r>
              <w:t xml:space="preserve">Ch.6</w:t>
            </w:r>
          </w:p>
        </w:tc>
      </w:tr>
    </w:tbl>
    <w:p>
      <w:r>
        <w:pict>
          <v:rect style="width:0;height:1.5pt" o:hralign="center" o:hrstd="t" o:hr="t"/>
        </w:pict>
      </w:r>
    </w:p>
    <w:bookmarkEnd w:id="25"/>
    <w:bookmarkStart w:id="26" w:name="danh-mục-hình"/>
    <w:p>
      <w:pPr>
        <w:pStyle w:val="Heading2"/>
      </w:pPr>
      <w:r>
        <w:t xml:space="preserve">DANH MỤC HÌNH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4.0</w:t>
            </w:r>
          </w:p>
        </w:tc>
        <w:tc>
          <w:tcPr/>
          <w:p>
            <w:pPr>
              <w:pStyle w:val="Compact"/>
              <w:jc w:val="left"/>
            </w:pPr>
            <w:r>
              <w:t xml:space="preserve">Phân bố mẫu 101.185 doanh nghiệp xuyên 17 năm (2009–2025) theo 3 thế hệ schema WBES</w:t>
            </w:r>
          </w:p>
        </w:tc>
        <w:tc>
          <w:tcPr/>
          <w:p>
            <w:pPr>
              <w:pStyle w:val="Compact"/>
              <w:jc w:val="left"/>
            </w:pPr>
            <w:r>
              <w:t xml:space="preserve">Ch.4</w:t>
            </w:r>
          </w:p>
        </w:tc>
      </w:tr>
      <w:tr>
        <w:tc>
          <w:tcPr/>
          <w:p>
            <w:pPr>
              <w:pStyle w:val="Compact"/>
              <w:jc w:val="left"/>
            </w:pPr>
            <w:r>
              <w:t xml:space="preserve">Hình 4.1.1</w:t>
            </w:r>
          </w:p>
        </w:tc>
        <w:tc>
          <w:tcPr/>
          <w:p>
            <w:pPr>
              <w:pStyle w:val="Compact"/>
              <w:jc w:val="left"/>
            </w:pPr>
            <w:r>
              <w:t xml:space="preserve">Phân bố pool 5 phân nhóm con thể chế (n=101.185 doanh nghiệp)</w:t>
            </w:r>
          </w:p>
        </w:tc>
        <w:tc>
          <w:tcPr/>
          <w:p>
            <w:pPr>
              <w:pStyle w:val="Compact"/>
              <w:jc w:val="left"/>
            </w:pPr>
            <w:r>
              <w:t xml:space="preserve">Ch.4</w:t>
            </w:r>
          </w:p>
        </w:tc>
      </w:tr>
      <w:tr>
        <w:tc>
          <w:tcPr/>
          <w:p>
            <w:pPr>
              <w:pStyle w:val="Compact"/>
              <w:jc w:val="left"/>
            </w:pPr>
            <w:r>
              <w:t xml:space="preserve">Hình 4.2</w:t>
            </w:r>
          </w:p>
        </w:tc>
        <w:tc>
          <w:tcPr/>
          <w:p>
            <w:pPr>
              <w:pStyle w:val="Compact"/>
              <w:jc w:val="left"/>
            </w:pPr>
            <w:r>
              <w:t xml:space="preserve">Phân phối năng suất theo 6 phân nhóm con (kernel density, n=101.185)</w:t>
            </w:r>
          </w:p>
        </w:tc>
        <w:tc>
          <w:tcPr/>
          <w:p>
            <w:pPr>
              <w:pStyle w:val="Compact"/>
              <w:jc w:val="left"/>
            </w:pPr>
            <w:r>
              <w:t xml:space="preserve">Ch.4</w:t>
            </w:r>
          </w:p>
        </w:tc>
      </w:tr>
      <w:tr>
        <w:tc>
          <w:tcPr/>
          <w:p>
            <w:pPr>
              <w:pStyle w:val="Compact"/>
              <w:jc w:val="left"/>
            </w:pPr>
            <w:r>
              <w:t xml:space="preserve">Hình 4.4</w:t>
            </w:r>
          </w:p>
        </w:tc>
        <w:tc>
          <w:tcPr/>
          <w:p>
            <w:pPr>
              <w:pStyle w:val="Compact"/>
              <w:jc w:val="left"/>
            </w:pPr>
            <w:r>
              <w:t xml:space="preserve">Slope chart 2009–2012 vs 2018–2025 (Δ điểm phần trăm 5 chỉ số)</w:t>
            </w:r>
          </w:p>
        </w:tc>
        <w:tc>
          <w:tcPr/>
          <w:p>
            <w:pPr>
              <w:pStyle w:val="Compact"/>
              <w:jc w:val="left"/>
            </w:pPr>
            <w:r>
              <w:t xml:space="preserve">Ch.4</w:t>
            </w:r>
          </w:p>
        </w:tc>
      </w:tr>
      <w:tr>
        <w:tc>
          <w:tcPr/>
          <w:p>
            <w:pPr>
              <w:pStyle w:val="Compact"/>
              <w:jc w:val="left"/>
            </w:pPr>
            <w:r>
              <w:t xml:space="preserve">Hình 4.6</w:t>
            </w:r>
          </w:p>
        </w:tc>
        <w:tc>
          <w:tcPr/>
          <w:p>
            <w:pPr>
              <w:pStyle w:val="Compact"/>
              <w:jc w:val="left"/>
            </w:pPr>
            <w:r>
              <w:t xml:space="preserve">Phân phối quy mô doanh nghiệp theo phân nhóm con (n=101.185)</w:t>
            </w:r>
          </w:p>
        </w:tc>
        <w:tc>
          <w:tcPr/>
          <w:p>
            <w:pPr>
              <w:pStyle w:val="Compact"/>
              <w:jc w:val="left"/>
            </w:pPr>
            <w:r>
              <w:t xml:space="preserve">Ch.4</w:t>
            </w:r>
          </w:p>
        </w:tc>
      </w:tr>
      <w:tr>
        <w:tc>
          <w:tcPr/>
          <w:p>
            <w:pPr>
              <w:pStyle w:val="Compact"/>
              <w:jc w:val="left"/>
            </w:pPr>
            <w:r>
              <w:t xml:space="preserve">Hình 4.7</w:t>
            </w:r>
          </w:p>
        </w:tc>
        <w:tc>
          <w:tcPr/>
          <w:p>
            <w:pPr>
              <w:pStyle w:val="Compact"/>
              <w:jc w:val="left"/>
            </w:pPr>
            <w:r>
              <w:t xml:space="preserve">Spider chart 5 chiều × 2 mốc thời gian (Advanced, Emerging, SIDS)</w:t>
            </w:r>
          </w:p>
        </w:tc>
        <w:tc>
          <w:tcPr/>
          <w:p>
            <w:pPr>
              <w:pStyle w:val="Compact"/>
              <w:jc w:val="left"/>
            </w:pPr>
            <w:r>
              <w:t xml:space="preserve">Ch.4</w:t>
            </w:r>
          </w:p>
        </w:tc>
      </w:tr>
      <w:tr>
        <w:tc>
          <w:tcPr/>
          <w:p>
            <w:pPr>
              <w:pStyle w:val="Compact"/>
              <w:jc w:val="left"/>
            </w:pPr>
            <w:r>
              <w:t xml:space="preserve">Hình 5.6.1</w:t>
            </w:r>
          </w:p>
        </w:tc>
        <w:tc>
          <w:tcPr/>
          <w:p>
            <w:pPr>
              <w:pStyle w:val="Compact"/>
              <w:jc w:val="left"/>
            </w:pPr>
            <w:r>
              <w:t xml:space="preserve">Mongolia: Evolution 2009–2025 (4 đợt khảo sát WBES)</w:t>
            </w:r>
          </w:p>
        </w:tc>
        <w:tc>
          <w:tcPr/>
          <w:p>
            <w:pPr>
              <w:pStyle w:val="Compact"/>
              <w:jc w:val="left"/>
            </w:pPr>
            <w:r>
              <w:t xml:space="preserve">Ch.5</w:t>
            </w:r>
          </w:p>
        </w:tc>
      </w:tr>
    </w:tbl>
    <w:p>
      <w:r>
        <w:pict>
          <v:rect style="width:0;height:1.5pt" o:hralign="center" o:hrstd="t" o:hr="t"/>
        </w:pict>
      </w:r>
    </w:p>
    <w:bookmarkEnd w:id="26"/>
    <w:bookmarkStart w:id="27"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PRC</w:t>
            </w:r>
          </w:p>
        </w:tc>
        <w:tc>
          <w:tcPr/>
          <w:p>
            <w:pPr>
              <w:pStyle w:val="Compact"/>
              <w:jc w:val="left"/>
            </w:pPr>
            <w:r>
              <w:t xml:space="preserve">People's Republic of China</w:t>
            </w:r>
          </w:p>
        </w:tc>
        <w:tc>
          <w:tcPr/>
          <w:p>
            <w:pPr>
              <w:pStyle w:val="Compact"/>
              <w:jc w:val="left"/>
            </w:pPr>
            <w:r>
              <w:t xml:space="preserve">Cộng hòa Nhân dân Trung Hoa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RSE</w:t>
            </w:r>
          </w:p>
        </w:tc>
        <w:tc>
          <w:tcPr/>
          <w:p>
            <w:pPr>
              <w:pStyle w:val="Compact"/>
              <w:jc w:val="left"/>
            </w:pPr>
            <w:r>
              <w:t xml:space="preserve">Recognised Seasonal Employer</w:t>
            </w:r>
          </w:p>
        </w:tc>
        <w:tc>
          <w:tcPr/>
          <w:p>
            <w:pPr>
              <w:pStyle w:val="Compact"/>
              <w:jc w:val="left"/>
            </w:pPr>
            <w:r>
              <w:t xml:space="preserve">—</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TCE</w:t>
            </w:r>
          </w:p>
        </w:tc>
        <w:tc>
          <w:tcPr/>
          <w:p>
            <w:pPr>
              <w:pStyle w:val="Compact"/>
              <w:jc w:val="left"/>
            </w:pPr>
            <w:r>
              <w:t xml:space="preserve">Transaction Cost Economics</w:t>
            </w:r>
          </w:p>
        </w:tc>
        <w:tc>
          <w:tcPr/>
          <w:p>
            <w:pPr>
              <w:pStyle w:val="Compact"/>
              <w:jc w:val="left"/>
            </w:pPr>
            <w:r>
              <w:t xml:space="preserve">Lý thuyết chi phí giao dịch</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p>
      <w:r>
        <w:pict>
          <v:rect style="width:0;height:1.5pt" o:hralign="center" o:hrstd="t" o:hr="t"/>
        </w:pict>
      </w:r>
    </w:p>
    <w:bookmarkEnd w:id="27"/>
    <w:bookmarkStart w:id="34" w:name="chương-1--giới-thiệu"/>
    <w:p>
      <w:pPr>
        <w:pStyle w:val="Heading2"/>
      </w:pPr>
      <w:r>
        <w:t xml:space="preserve">CHƯƠNG 1 — GIỚI THIỆU</w:t>
      </w:r>
    </w:p>
    <w:bookmarkStart w:id="28" w:name="X7d99df2d9d0c5141050eb9941026463f4c8ea2b"/>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 "higher-value" stage.</w:t>
      </w:r>
      <w:r>
        <w:t xml:space="preserve"> </w:t>
      </w:r>
      <w:r>
        <w:rPr>
          <w:bCs/>
          <w:b/>
        </w:rPr>
        <w:t xml:space="preserve">Lớp thứ bảy là bất định chính sách thuế quan Mỹ 2026</w:t>
      </w:r>
      <w:r>
        <w:t xml:space="preserve"> </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 "</w:t>
      </w:r>
      <w:r>
        <w:rPr>
          <w:bCs/>
          <w:b/>
        </w:rPr>
        <w:t xml:space="preserve">hiệu ứng lá chắn số (digital shield effect)</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 Đây là phạm vi rộng nhất từng có cho nghiên cứu I→P trong văn liệu IB hiện hành. Năm 2025 có</w:t>
      </w:r>
      <w:r>
        <w:t xml:space="preserve"> </w:t>
      </w:r>
      <w:r>
        <w:rPr>
          <w:bCs/>
          <w:b/>
        </w:rPr>
        <w:t xml:space="preserve">14 đợt khảo sát với 16.979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 "lý thuyết Uppsala vận hành ở điểm tối ưu" và "lý thuyết Uppsala bị biến dạng thành đường cong đảo ngược ở điều kiện biên". Đối với Fiji và 6 SIDS Pacific khác,</w:t>
      </w:r>
      <w:r>
        <w:t xml:space="preserve"> </w:t>
      </w:r>
      <w:r>
        <w:rPr>
          <w:bCs/>
          <w:b/>
        </w:rPr>
        <w:t xml:space="preserve">số hóa không phải công cụ tối ưu hóa chuỗi cung ứng mà là phương tiện sinh tồn — website không phải chiến lược marketing mà là cánh cửa duy nhất kết nối với thế giới</w:t>
      </w:r>
      <w:r>
        <w:t xml:space="preserve">. Ẩn dụ này dẫn vào §2.6 (3 điều kiện cấu trúc của U-curve) và §5.7 (SIDS Pacific case file 16) — nơi điều kiện biên của lý thuyết Lu &amp; Beamish (2004) được thiết lập rõ ràng.</w:t>
      </w:r>
    </w:p>
    <w:bookmarkEnd w:id="28"/>
    <w:bookmarkStart w:id="29" w:name="X012475c43f7542007fcc3d21355a4e482bb8d09"/>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văn liệu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9"/>
    <w:bookmarkStart w:id="30" w:name="Xe563fa1990a777a08afe196c7fd775c01406ea2"/>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 41 nước châu Á thuần</w:t>
      </w:r>
      <w:r>
        <w:t xml:space="preserve"> </w:t>
      </w:r>
      <w:r>
        <w:t xml:space="preserve">(theo tiêu đề luận án "Châu Á" 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 biên giới Đông – Tây Á về địa lý).</w:t>
      </w:r>
    </w:p>
    <w:p>
      <w:pPr>
        <w:pStyle w:val="BlockText"/>
      </w:pPr>
      <w:r>
        <w:rPr>
          <w:bCs/>
          <w:b/>
        </w:rPr>
        <w:t xml:space="preserve">Lưu ý phân biệt phạm vi ICRV vs WB geographic scope (v3.14)</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 "Emerging/Central Asia" 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 7 SIDS Thái Bình Dương</w:t>
      </w:r>
      <w:r>
        <w:t xml:space="preserve"> </w:t>
      </w:r>
      <w:r>
        <w:t xml:space="preserve">(theo khung "Asia and Pacific" 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pStyle w:val="BodyText"/>
      </w:pPr>
      <w:r>
        <w:t xml:space="preserve">(a)</w:t>
      </w:r>
      <w:r>
        <w:t xml:space="preserve"> </w:t>
      </w:r>
      <w:r>
        <w:rPr>
          <w:bCs/>
          <w:b/>
        </w:rPr>
        <w:t xml:space="preserve">Khung "Asia and Pacific" thống nhất</w:t>
      </w:r>
      <w:r>
        <w:t xml:space="preserve"> </w:t>
      </w:r>
      <w:r>
        <w:t xml:space="preserve">của ADB Regional Classification (ADB, 2024) và World Bank EAP Region được áp dụng xuyên suốt các báo cáo thực tiễn — đảm bảo so sánh nhất quán với văn liệu IB hiện hành;</w:t>
      </w:r>
    </w:p>
    <w:p>
      <w:pPr>
        <w:pStyle w:val="BodyText"/>
      </w:pPr>
      <w:r>
        <w:t xml:space="preserve">(b)</w:t>
      </w:r>
      <w:r>
        <w:t xml:space="preserve"> </w:t>
      </w:r>
      <w:r>
        <w:rPr>
          <w:bCs/>
          <w:b/>
        </w:rPr>
        <w:t xml:space="preserve">WBES coverage</w:t>
      </w:r>
      <w:r>
        <w:t xml:space="preserve"> </w:t>
      </w:r>
      <w:r>
        <w:t xml:space="preserve">cho SIDS Pacific là phần dữ liệu Asia mà không có nguồn alternative chuẩn hóa khác — bảo đảm tính khả dụng dữ liệu so sánh xuyên quốc gia;</w:t>
      </w:r>
    </w:p>
    <w:p>
      <w:pPr>
        <w:pStyle w:val="BodyText"/>
      </w:pPr>
      <w:r>
        <w:t xml:space="preserve">(c)</w:t>
      </w:r>
      <w:r>
        <w:t xml:space="preserve"> </w:t>
      </w: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 đặc biệt H6 (forced internationalization penalty) trong Chuyên đề 2. Kiribati 2025 với FSTS 1,03%, FDI 0,7%, website 18,7% là extreme nhất pool (xem §5.7);</w:t>
      </w:r>
    </w:p>
    <w:p>
      <w:pPr>
        <w:pStyle w:val="BodyText"/>
      </w:pPr>
      <w:r>
        <w:t xml:space="preserve">(d)</w:t>
      </w:r>
      <w:r>
        <w:t xml:space="preserve"> </w:t>
      </w:r>
      <w:r>
        <w:rPr>
          <w:bCs/>
          <w:b/>
        </w:rPr>
        <w:t xml:space="preserve">Lý thuyết phenomenon-based</w:t>
      </w:r>
      <w:r>
        <w:t xml:space="preserve"> </w:t>
      </w:r>
      <w:r>
        <w:t xml:space="preserve">(Meyer et al., 2017): hiện tượng "isolated SIDS" (Kiribati extreme) làm sáng tỏ điều kiện biên của lý thuyết Uppsala (Johanson &amp; Vahlne, 1977) và liability of foreignness (Zaheer, 1995) ở scale cực nhỏ.</w:t>
      </w:r>
    </w:p>
    <w:p>
      <w:pPr>
        <w:pStyle w:val="BodyText"/>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p>
    <w:p>
      <w:pPr>
        <w:numPr>
          <w:ilvl w:val="0"/>
          <w:numId w:val="1004"/>
        </w:numPr>
        <w:pStyle w:val="Compact"/>
      </w:pPr>
      <w:r>
        <w:t xml:space="preserve">(i)</w:t>
      </w:r>
      <w:r>
        <w:t xml:space="preserve"> </w:t>
      </w:r>
      <w:r>
        <w:rPr>
          <w:bCs/>
          <w:b/>
        </w:rPr>
        <w:t xml:space="preserve">Trường hợp biên cực trị (extreme boundary case)</w:t>
      </w:r>
      <w:r>
        <w:t xml:space="preserve"> </w:t>
      </w:r>
      <w:r>
        <w:t xml:space="preserve">cho ICRV regime classification (§3.2);</w:t>
      </w:r>
    </w:p>
    <w:p>
      <w:pPr>
        <w:numPr>
          <w:ilvl w:val="0"/>
          <w:numId w:val="1004"/>
        </w:numPr>
        <w:pStyle w:val="Compact"/>
      </w:pPr>
      <w:r>
        <w:t xml:space="preserve">(ii)</w:t>
      </w:r>
      <w:r>
        <w:t xml:space="preserve"> </w:t>
      </w:r>
      <w:r>
        <w:rPr>
          <w:bCs/>
          <w:b/>
        </w:rPr>
        <w:t xml:space="preserve">Đối chứng (counterfactual)</w:t>
      </w:r>
      <w:r>
        <w:t xml:space="preserve"> </w:t>
      </w:r>
      <w:r>
        <w:t xml:space="preserve">cho pattern châu Á — đặc biệt §5.7 SIDS Thái Bình Dương và §7.3.1 (3) digital theatre;</w:t>
      </w:r>
    </w:p>
    <w:p>
      <w:pPr>
        <w:numPr>
          <w:ilvl w:val="0"/>
          <w:numId w:val="1004"/>
        </w:numPr>
        <w:pStyle w:val="Compact"/>
      </w:pPr>
      <w:r>
        <w:t xml:space="preserve">(iii)</w:t>
      </w:r>
      <w:r>
        <w:t xml:space="preserve"> </w:t>
      </w:r>
      <w:r>
        <w:rPr>
          <w:bCs/>
          <w:b/>
        </w:rPr>
        <w:t xml:space="preserve">Bằng chứng cho H6</w:t>
      </w:r>
      <w:r>
        <w:t xml:space="preserve"> </w:t>
      </w:r>
      <w:r>
        <w:t xml:space="preserve">(forced internationalization penalty) trong Chuyên đề 2.</w:t>
      </w:r>
    </w:p>
    <w:p>
      <w:pPr>
        <w:pStyle w:val="FirstParagraph"/>
      </w:pPr>
      <w:r>
        <w:rPr>
          <w:bCs/>
          <w:b/>
        </w:rPr>
        <w:t xml:space="preserve">Chi tiết phân tích firm-level cho SIDS Pacific</w:t>
      </w:r>
      <w:r>
        <w:t xml:space="preserve"> </w:t>
      </w:r>
      <w:r>
        <w:t xml:space="preserve">(gồm Kiribati extreme; Pacific MIRAB model — Bertram, 2006; vulnerability — Briguglio, 1995) được tách thành</w:t>
      </w:r>
      <w:r>
        <w:t xml:space="preserve"> </w:t>
      </w:r>
      <w:r>
        <w:rPr>
          <w:bCs/>
          <w:b/>
        </w:rPr>
        <w:t xml:space="preserve">bản thảo P8 riêng</w:t>
      </w:r>
      <w:r>
        <w:t xml:space="preserve"> </w:t>
      </w:r>
      <w:r>
        <w:t xml:space="preserve">(Đỗ &amp; Phan, đang chuẩn bị, target</w:t>
      </w:r>
      <w:r>
        <w:t xml:space="preserve"> </w:t>
      </w:r>
      <w:r>
        <w:rPr>
          <w:iCs/>
          <w:i/>
        </w:rPr>
        <w:t xml:space="preserve">World Development</w:t>
      </w:r>
      <w:r>
        <w:t xml:space="preserve">) để bảo đảm</w:t>
      </w:r>
      <w:r>
        <w:t xml:space="preserve"> </w:t>
      </w:r>
      <w:r>
        <w:rPr>
          <w:bCs/>
          <w:b/>
        </w:rPr>
        <w:t xml:space="preserve">scope coherence</w:t>
      </w:r>
      <w:r>
        <w:t xml:space="preserve"> </w:t>
      </w:r>
      <w:r>
        <w:t xml:space="preserve">cho luận án thuần "Châu Á" 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 năng suất lao động, lợi nhuận, tăng trưởng, đổi mới sáng tạo, cấu trúc doanh nghiệp.</w:t>
      </w:r>
    </w:p>
    <w:bookmarkEnd w:id="30"/>
    <w:bookmarkStart w:id="31" w:name="X8b6fdc9105bd29bb23273b6b47d8f7586b0ad85"/>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pPr>
      <w:r>
        <w:rPr>
          <w:bCs/>
          <w:b/>
        </w:rPr>
        <w:t xml:space="preserve">Áp dụng nguyên tắc transparent data section của Aguinis et al. (2019 —</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 Kafouros et al. (2023 —</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 giải thích sự phân tán R&amp;D, ISO và TCI; (c)</w:t>
      </w:r>
      <w:r>
        <w:t xml:space="preserve"> </w:t>
      </w:r>
      <w:r>
        <w:rPr>
          <w:bCs/>
          <w:b/>
        </w:rPr>
        <w:t xml:space="preserve">trao đổi giữa các doanh nghiệp</w:t>
      </w:r>
      <w:r>
        <w:t xml:space="preserve"> </w:t>
      </w:r>
      <w: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pPr>
      <w:r>
        <w:rPr>
          <w:bCs/>
          <w:b/>
        </w:rPr>
        <w:t xml:space="preserve">Khung 3 trụ cột bổ sung — IFC Private Sector Development Blueprint</w:t>
      </w:r>
      <w:r>
        <w:t xml:space="preserve">: Báo cáo IFC (n.d. —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 lao động, tài chính, năng lượng, internet); (iii)</w:t>
      </w:r>
      <w:r>
        <w:t xml:space="preserve"> </w:t>
      </w:r>
      <w:r>
        <w:rPr>
          <w:bCs/>
          <w:b/>
        </w:rPr>
        <w:t xml:space="preserve">động lực thị trường</w:t>
      </w:r>
      <w:r>
        <w:t xml:space="preserve"> </w:t>
      </w:r>
      <w:r>
        <w:t xml:space="preserve">(market dynamics —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 "n.a." (không áp dụng). Các nguyên tắc này bảo đảm tính so sánh xuyên quốc gia và xuyên thời gian của 47 nền kinh tế trong pool 101.185 doanh nghiệp (cited World Bank, 2025 — Hệ thống phân loại quốc gia FY26 + n.d. — Tài liệu tóm tắt chỉ số Enterprise Surveys; file 04 v2.5).</w:t>
      </w:r>
    </w:p>
    <w:bookmarkEnd w:id="31"/>
    <w:bookmarkStart w:id="32" w:name="X29d3e5f599a740053129973f83287d859a1fc15"/>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pStyle w:val="BodyText"/>
      </w:pPr>
      <w:r>
        <w:t xml:space="preserve">(1)</w:t>
      </w:r>
      <w:r>
        <w:t xml:space="preserve"> </w:t>
      </w:r>
      <w:r>
        <w:rPr>
          <w:bCs/>
          <w:b/>
        </w:rPr>
        <w:t xml:space="preserve">Pattern điển hình (stylized facts)</w:t>
      </w:r>
      <w:r>
        <w:t xml:space="preserve"> </w:t>
      </w:r>
      <w:r>
        <w:t xml:space="preserve">đa chiều cho hiệu quả doanh nghiệp châu Á 2009–2025 — phạm vi rộng nhất trong văn liệu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 Fiji*) đặt chuyên đề ở vị trí cập nhật nhất.</w:t>
      </w:r>
    </w:p>
    <w:p>
      <w:pPr>
        <w:pStyle w:val="BodyText"/>
      </w:pPr>
      <w:r>
        <w:t xml:space="preserve">(2)</w:t>
      </w:r>
      <w:r>
        <w:t xml:space="preserve"> </w:t>
      </w:r>
      <w:r>
        <w:rPr>
          <w:bCs/>
          <w:b/>
        </w:rPr>
        <w:t xml:space="preserve">Phân nhóm con Advanced</w:t>
      </w:r>
      <w:r>
        <w:t xml:space="preserve"> </w:t>
      </w:r>
      <w: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t xml:space="preserve"> </w:t>
      </w:r>
      <w:r>
        <w:rPr>
          <w:bCs/>
          <w:b/>
        </w:rPr>
        <w:t xml:space="preserve">2,1 lần</w:t>
      </w:r>
      <w:r>
        <w:t xml:space="preserve"> </w:t>
      </w:r>
      <w:r>
        <w:t xml:space="preserve">(xem §5.2 + Hình 4.1).</w:t>
      </w:r>
    </w:p>
    <w:p>
      <w:pPr>
        <w:pStyle w:val="BodyText"/>
      </w:pPr>
      <w:r>
        <w:t xml:space="preserve">(3)</w:t>
      </w:r>
      <w:r>
        <w:t xml:space="preserve"> </w:t>
      </w:r>
      <w:r>
        <w:rPr>
          <w:bCs/>
          <w:b/>
        </w:rPr>
        <w:t xml:space="preserve">Nhảy vọt số (digital leapfrog)</w:t>
      </w:r>
      <w:r>
        <w:t xml:space="preserve"> </w:t>
      </w:r>
      <w:r>
        <w:t xml:space="preserve">ở Frontier và Emerging châu Á 2018–2025 — mở rộng pattern hiệu ứng lá chắn số (digital shield effect) từ 17 nước (Đỗ &amp; Phan, 2026 — VEFR) lên 47 nước (xem §4.4 và §4.6). Phân tách hai tầng (Tier) đo lường —</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t xml:space="preserve"> </w:t>
      </w:r>
      <w:r>
        <w:rPr>
          <w:bCs/>
          <w:b/>
        </w:rPr>
        <w:t xml:space="preserve">biểu hiện giả tạo do bão hòa Tier-1 (artifact của Tier-1 saturation)</w:t>
      </w:r>
      <w:r>
        <w:t xml:space="preserve">, không phải "số hóa làm giảm năng suất ở Singapore/Hàn Quốc".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pStyle w:val="BodyText"/>
      </w:pPr>
      <w:r>
        <w:t xml:space="preserve">(4)</w:t>
      </w:r>
      <w:r>
        <w:t xml:space="preserve"> </w:t>
      </w:r>
      <w:r>
        <w:rPr>
          <w:bCs/>
          <w:b/>
        </w:rPr>
        <w:t xml:space="preserve">Bằng chứng cho khung lý thuyết phi tuyến + điều tiết đa tầng</w:t>
      </w:r>
      <w:r>
        <w:t xml:space="preserve"> </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 —</w:t>
      </w:r>
      <w:r>
        <w:rPr>
          <w:bCs/>
          <w:b/>
        </w:rPr>
        <w:t xml:space="preserve"> </w:t>
      </w:r>
      <w:r>
        <w:rPr>
          <w:iCs/>
          <w:i/>
          <w:bCs/>
          <w:b/>
        </w:rPr>
        <w:t xml:space="preserve">Global Strategy Journal</w:t>
      </w:r>
      <w:r>
        <w:rPr>
          <w:bCs/>
          <w:b/>
        </w:rPr>
        <w:t xml:space="preserve">)</w:t>
      </w:r>
      <w:r>
        <w:t xml:space="preserve"> </w:t>
      </w:r>
      <w:r>
        <w:t xml:space="preserve">phân tách "exposure de jure" (luật trên giấy) vs "enforcement de facto" (thực thi thực tế) —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 —</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t xml:space="preserve"> </w:t>
      </w:r>
      <w:r>
        <w:rPr>
          <w:iCs/>
          <w:i/>
        </w:rPr>
        <w:t xml:space="preserve">industry × institutional dynamism interaction effect</w:t>
      </w:r>
      <w:r>
        <w:t xml:space="preserve"> </w:t>
      </w:r>
      <w:r>
        <w:t xml:space="preserve">— và cho biểu đồ Bảng 4.8.1 dynamism profile theo Kafouros (xem §4.8 file 15).</w:t>
      </w:r>
    </w:p>
    <w:p>
      <w:pPr>
        <w:pStyle w:val="BodyText"/>
      </w:pPr>
      <w:r>
        <w:rPr>
          <w:bCs/>
          <w:b/>
        </w:rPr>
        <w:t xml:space="preserve">Một đóng góp boundary case mở rộng (SIDS Pacific)</w:t>
      </w:r>
      <w:r>
        <w:t xml:space="preserve">:</w:t>
      </w:r>
    </w:p>
    <w:p>
      <w:pPr>
        <w:pStyle w:val="BodyText"/>
      </w:pPr>
      <w:r>
        <w:t xml:space="preserve">(5)</w:t>
      </w:r>
      <w:r>
        <w:t xml:space="preserve"> </w:t>
      </w: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 bằng chứng firm-level đầu tiên trong văn liệu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 minh họa qua tương phản. Chi tiết phân tích cho SIDS Pacific tách thành bản thảo P8 riêng (Đỗ &amp; Phan, đang chuẩn bị, target</w:t>
      </w:r>
      <w:r>
        <w:t xml:space="preserve"> </w:t>
      </w:r>
      <w:r>
        <w:rPr>
          <w:iCs/>
          <w:i/>
        </w:rPr>
        <w:t xml:space="preserve">World Development</w:t>
      </w:r>
      <w:r>
        <w:t xml:space="preserve">).</w:t>
      </w:r>
    </w:p>
    <w:bookmarkEnd w:id="32"/>
    <w:bookmarkStart w:id="33" w:name="X8f32fe14739c8824c9cf91196bdfa0dcfd6905c"/>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r>
        <w:pict>
          <v:rect style="width:0;height:1.5pt" o:hralign="center" o:hrstd="t" o:hr="t"/>
        </w:pict>
      </w:r>
    </w:p>
    <w:bookmarkEnd w:id="33"/>
    <w:bookmarkEnd w:id="34"/>
    <w:bookmarkStart w:id="42" w:name="X6a96fa224f36a19d68653d3e10335f396843985"/>
    <w:p>
      <w:pPr>
        <w:pStyle w:val="Heading2"/>
      </w:pPr>
      <w:r>
        <w:t xml:space="preserve">CHƯƠNG 2 — CƠ SỞ LÝ LUẬN VỀ HIỆU QUẢ HOẠT ĐỘNG KINH DOANH</w:t>
      </w:r>
    </w:p>
    <w:bookmarkStart w:id="35" w:name="Xa7c0ac42fb7cc3e8e031ee5a831dff8a58a414c"/>
    <w:p>
      <w:pPr>
        <w:pStyle w:val="Heading3"/>
      </w:pPr>
      <w:r>
        <w:t xml:space="preserve">2.1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(multidimensional) 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w:t>
      </w:r>
      <w:r>
        <w:t xml:space="preserve">(financial performance) — doanh thu, lợi nhuận, tỷ suất sinh lợi; và (b)</w:t>
      </w:r>
      <w:r>
        <w:t xml:space="preserve"> </w:t>
      </w:r>
      <w:r>
        <w:rPr>
          <w:bCs/>
          <w:b/>
        </w:rPr>
        <w:t xml:space="preserve">hiệu quả hoạt động rộng hơn</w:t>
      </w:r>
      <w:r>
        <w:t xml:space="preserve"> </w:t>
      </w:r>
      <w:r>
        <w:t xml:space="preserve">(broader organizational effectiveness) —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(valuable, rare, inimitable, non-substitutable —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w:t>
      </w:r>
      <w:r>
        <w:t xml:space="preserve">(labor productivity — LP) — đo bằng giá trị gia tăng trên lao động hoặc doanh thu trên lao động —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LP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(PPP) nhằm đảm bảo tính so sánh xuyên quốc gia (World Bank Enterprise Surveys, 2025).</w:t>
      </w:r>
    </w:p>
    <w:p>
      <w:pPr>
        <w:pStyle w:val="BodyText"/>
      </w:pPr>
      <w:r>
        <w:t xml:space="preserve">Bên cạnh LP, chuyên đề tiếp cận hiệu quả theo</w:t>
      </w:r>
      <w:r>
        <w:t xml:space="preserve"> </w:t>
      </w:r>
      <w:r>
        <w:rPr>
          <w:bCs/>
          <w:b/>
        </w:rPr>
        <w:t xml:space="preserve">bốn chiều</w:t>
      </w:r>
      <w:r>
        <w:t xml:space="preserve"> </w:t>
      </w:r>
      <w:r>
        <w:t xml:space="preserve">(§2.2) để cung cấp bức tranh toàn diện hơn. Cách tiếp cận này kế thừa khung đo lường đa chiều của Murphy et al. (1996) và được điều chỉnh để phù hợp với độ bao phủ biến của WBES.</w:t>
      </w:r>
    </w:p>
    <w:bookmarkEnd w:id="35"/>
    <w:bookmarkStart w:id="36" w:name="X180c3b935469265cc54ac9e4d639aa403fda299"/>
    <w:p>
      <w:pPr>
        <w:pStyle w:val="Heading3"/>
      </w:pPr>
      <w:r>
        <w:t xml:space="preserve">2.2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 Năng suất lao động (Labor Productivity)</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(primary metric) xuyên suốt phân tích, được lựa chọn vì: (a) có thể tính cho hầu hết các nền kinh tế trong pool; (b) không bị nhiễu bởi cơ cấu thuế và chính sách chuyển giá quốc gia; (c) có giá trị tham chiếu rõ ràng trong văn liệu quốc tế (Hsieh &amp; Klenow, 2009, 2014).</w:t>
      </w:r>
    </w:p>
    <w:p>
      <w:pPr>
        <w:pStyle w:val="BodyText"/>
      </w:pPr>
      <w:r>
        <w:rPr>
          <w:bCs/>
          <w:b/>
        </w:rPr>
        <w:t xml:space="preserve">Chiều 2 — Lợi nhuận và biên lợi nhuận (Profitability)</w:t>
      </w:r>
      <w:r>
        <w:t xml:space="preserve">. Biến đo lường: (a) tỷ suất lợi nhuận hoạt động từ câu hỏi WBES về doanh thu sau chi phí lao động; (b) chỉ số gián tiếp qua khả năng tái đầu tư (self-financing capacity). Hạn chế: nhiều doanh nghiệp trong WBES không tiết lộ lợi nhuận cụ thể — do đó chiều này mang tính hỗ trợ thay vì chủ đạo.</w:t>
      </w:r>
    </w:p>
    <w:p>
      <w:pPr>
        <w:pStyle w:val="BodyText"/>
      </w:pPr>
      <w:r>
        <w:rPr>
          <w:bCs/>
          <w:b/>
        </w:rPr>
        <w:t xml:space="preserve">Chiều 3 — Tăng trưởng (Growth)</w:t>
      </w:r>
      <w:r>
        <w:t xml:space="preserve">. Biến đo lường: (a) CAGR tăng trưởng việc làm (employment growth) giữa 3 năm trước và thời điểm khảo sát; (b) tỷ lệ doanh nghiệp xuất khẩu (export participation) như proxy cho mở rộng thị trường. Tăng trưởng việc làm được ưu tiên vì: (a) ít nhạy cảm với thay đổi giá cả so với doanh thu; (b) phản ánh khả năng tạo việc làm bền vững — quan trọng cho mục tiêu chính sách.</w:t>
      </w:r>
    </w:p>
    <w:p>
      <w:pPr>
        <w:pStyle w:val="BodyText"/>
      </w:pPr>
      <w:r>
        <w:rPr>
          <w:bCs/>
          <w:b/>
        </w:rPr>
        <w:t xml:space="preserve">Chiều 4 — Đổi mới sáng tạo và cấu trúc doanh nghiệp (Innovation and Structure)</w:t>
      </w:r>
      <w:r>
        <w:t xml:space="preserve">. Biến đo lường: (a) R&amp;D (tỷ lệ doanh nghiệp có chi tiêu R&amp;D dương); (b) đổi mới sản phẩm mới; (c) đổi mới quy trình mới; (d) chứng nhận ISO; (e) website (Tier-1 Digital Presence); (f) FDI ≥10% (cơ cấu sở hữu). Chiều thứ tư này phản ánh</w:t>
      </w:r>
      <w:r>
        <w:t xml:space="preserve"> </w:t>
      </w:r>
      <w:r>
        <w:rPr>
          <w:bCs/>
          <w:b/>
        </w:rPr>
        <w:t xml:space="preserve">năng lực tương lai</w:t>
      </w:r>
      <w:r>
        <w:t xml:space="preserve"> </w:t>
      </w:r>
      <w:r>
        <w:t xml:space="preserve">(forward-looking capacity) — khả năng duy trì hiệu quả trong dài hạn qua đổi mới và nâng cấp công nghệ.</w:t>
      </w:r>
    </w:p>
    <w:bookmarkEnd w:id="36"/>
    <w:bookmarkStart w:id="37" w:name="X67bd87125cb885d558f3a32124da4d1b37a2956"/>
    <w:p>
      <w:pPr>
        <w:pStyle w:val="Heading3"/>
      </w:pPr>
      <w:r>
        <w:t xml:space="preserve">2.3 Năm meta-analysis lớn về quan hệ quốc tế hóa – hiệu quả (1980–2024)</w:t>
      </w:r>
    </w:p>
    <w:p>
      <w:pPr>
        <w:pStyle w:val="FirstParagraph"/>
      </w:pPr>
      <w:r>
        <w:t xml:space="preserve">Văn liệu về quan hệ quốc tế hóa → hiệu quả (I→P) là một trong những dòng nghiên cứu tích lũy nhiều nhất trong lý thuyết kinh doanh quốc tế (International Business — IB).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 (k=68)</w:t>
      </w:r>
      <w:r>
        <w:t xml:space="preserve"> </w:t>
      </w:r>
      <w:r>
        <w:t xml:space="preserve">giai đoạn 1980–2005. Hệ số tương quan trung bình r=0,045 — tích cực nhưng nhỏ. Phát hiện chính: đo lường I (internationalization) và đo lường P (performance) rất không đồng nhất giữa các nghiên cứu → làm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(MARA). Phát hiện: quan hệ I→P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w:t>
      </w:r>
      <w:r>
        <w:t xml:space="preserve"> </w:t>
      </w:r>
      <w:r>
        <w:rPr>
          <w:bCs/>
          <w:b/>
        </w:rPr>
        <w:t xml:space="preserve">thể chế hóa</w:t>
      </w:r>
      <w:r>
        <w:t xml:space="preserve"> </w:t>
      </w:r>
      <w:r>
        <w:t xml:space="preserve">(institutionalization) nghiên cứu I→P. Phát hiện: chất lượng thể chế nước chủ nhà là biến điều tiết quan trọng nhất —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w:t>
      </w:r>
      <w:r>
        <w:t xml:space="preserve"> </w:t>
      </w:r>
      <w:r>
        <w:rPr>
          <w:bCs/>
          <w:b/>
        </w:rPr>
        <w:t xml:space="preserve">các yếu tố điều tiết</w:t>
      </w:r>
      <w:r>
        <w:t xml:space="preserve"> </w:t>
      </w:r>
      <w:r>
        <w:t xml:space="preserve">mức độ tác động của internationalization. Phát hiện: năng lực hấp thụ (absorptive capacity — Cohen &amp; Levinthal, 1990), chất lượng CEO, và phát triển thể chế là các moderators quan trọng nhất. Gợi ý: cần đo lường TCI và TMT characteristics — trực tiếp liên quan đến Chuyên đề 2.</w:t>
      </w:r>
    </w:p>
    <w:p>
      <w:pPr>
        <w:pStyle w:val="BodyText"/>
      </w:pPr>
      <w:r>
        <w:rPr>
          <w:bCs/>
          <w:b/>
        </w:rPr>
        <w:t xml:space="preserve">(5) Wu, Fan &amp; Chen (2022)</w:t>
      </w:r>
      <w:r>
        <w:t xml:space="preserve">: Cập nhật meta-analysis đến 2020, tập trung vào</w:t>
      </w:r>
      <w:r>
        <w:t xml:space="preserve"> </w:t>
      </w:r>
      <w:r>
        <w:rPr>
          <w:bCs/>
          <w:b/>
        </w:rPr>
        <w:t xml:space="preserve">doanh nghiệp mới nổi châu Á (EMNEs)</w:t>
      </w:r>
      <w:r>
        <w:t xml:space="preserve">. Phát hiện: quan hệ I→P ở EMNEs có hình dạng U ngược (inverted-U) rõ nét hơn so với doanh nghiệp OECD; điểm uốn (turning point) thường nằm trong phạm vi 30-50% FSTS. Phát hiện này là nền tảng cho giả thuyết H1 của Chuyên đề 2.</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vs Tier-2 digital adoption như biến điều tiết riêng biệt. Khoảng trống này là nền tảng cho §7.1 (5 khoảng trống nghiên cứu).</w:t>
      </w:r>
    </w:p>
    <w:bookmarkEnd w:id="37"/>
    <w:bookmarkStart w:id="38" w:name="X2001137b19f823128e66f14565245b3af070adf"/>
    <w:p>
      <w:pPr>
        <w:pStyle w:val="Heading3"/>
      </w:pPr>
      <w:r>
        <w:t xml:space="preserve">2.4 Hài hòa hóa đo lường xuyên quốc gia trong WBES</w:t>
      </w:r>
    </w:p>
    <w:p>
      <w:pPr>
        <w:pStyle w:val="FirstParagraph"/>
      </w:pPr>
      <w:r>
        <w:t xml:space="preserve">World Bank Enterprise Surveys trải qua</w:t>
      </w:r>
      <w:r>
        <w:t xml:space="preserve"> </w:t>
      </w:r>
      <w:r>
        <w:rPr>
          <w:bCs/>
          <w:b/>
        </w:rPr>
        <w:t xml:space="preserve">ba thế hệ schema</w:t>
      </w:r>
      <w:r>
        <w:t xml:space="preserve"> </w:t>
      </w:r>
      <w:r>
        <w:t xml:space="preserve">trong giai đoạn nghiên cứu — tạo ra thách thức hài hòa hóa (harmonization) quan trọng:</w:t>
      </w:r>
    </w:p>
    <w:p>
      <w:pPr>
        <w:pStyle w:val="BodyText"/>
      </w:pPr>
      <w:r>
        <w:rPr>
          <w:bCs/>
          <w:b/>
        </w:rPr>
        <w:t xml:space="preserve">Thế hệ 1 — PICS3/MENA-WBES (2009–2012, n=14.171)</w:t>
      </w:r>
      <w:r>
        <w:t xml:space="preserve">: Bảng hỏi PICS3 dùng cho khu vực Đông Nam Á và Trung Á; MENA-WBES cho Trung Đông và Bắc Phi. Câu hỏi xuất khẩu hỏi tổng quát hơn (d3a = "có xuất khẩu không?"; d3b+d3c = "% doanh thu từ xuất khẩu trực tiếp + gián tiếp"). Website được đo qua câu e8.</w:t>
      </w:r>
    </w:p>
    <w:p>
      <w:pPr>
        <w:pStyle w:val="BodyText"/>
      </w:pPr>
      <w:r>
        <w:rPr>
          <w:bCs/>
          <w:b/>
        </w:rPr>
        <w:t xml:space="preserve">Thế hệ 2 — Standardized (2013–2017, n=24.564)</w:t>
      </w:r>
      <w:r>
        <w:t xml:space="preserve">: WBES Standardized Question Core được áp dụng đồng nhất xuyên toàn cầu từ 2013. Cấu trúc câu hỏi xuất khẩu giữ nguyên (d3b+d3c). Website = c22b. Thanh toán điện tử lần đầu xuất hiện (k33/k38 ở một số quốc gia).</w:t>
      </w:r>
    </w:p>
    <w:p>
      <w:pPr>
        <w:pStyle w:val="BodyText"/>
      </w:pPr>
      <w:r>
        <w:rPr>
          <w:bCs/>
          <w:b/>
        </w:rPr>
        <w:t xml:space="preserve">Thế hệ 3 — BREADY/BEE/EAP Core (2018–2025, n=62.450)</w:t>
      </w:r>
      <w:r>
        <w:t xml:space="preserve">: Schema BREADY (Business Readiness and Enterprise Data) tích hợp e-payment (k33, k38), cloud computing, mobile banking vào các modules bổ sung. Câu hỏi FSTS được viết lại rõ ràng hơn → gây</w:t>
      </w:r>
      <w:r>
        <w:t xml:space="preserve"> </w:t>
      </w:r>
      <w:r>
        <w:rPr>
          <w:bCs/>
          <w:b/>
        </w:rPr>
        <w:t xml:space="preserve">đứt gãy schema</w:t>
      </w:r>
      <w:r>
        <w:t xml:space="preserve"> </w:t>
      </w:r>
      <w:r>
        <w:t xml:space="preserve">(schema discontinuity) quan sát được: IND FSTS sụt 7,7%→2,7% trong đợt 2025 (Bảng 4.10).</w:t>
      </w:r>
    </w:p>
    <w:p>
      <w:pPr>
        <w:pStyle w:val="BodyText"/>
      </w:pPr>
      <w:r>
        <w:rPr>
          <w:bCs/>
          <w:b/>
        </w:rPr>
        <w:t xml:space="preserve">Giao thức hài hòa hóa</w:t>
      </w:r>
      <w:r>
        <w:t xml:space="preserve"> </w:t>
      </w:r>
      <w:r>
        <w:t xml:space="preserve">áp dụng trong chuyên đề này:</w:t>
      </w:r>
    </w:p>
    <w:p>
      <w:pPr>
        <w:numPr>
          <w:ilvl w:val="0"/>
          <w:numId w:val="1005"/>
        </w:numPr>
        <w:pStyle w:val="Compact"/>
      </w:pPr>
      <w:r>
        <w:rPr>
          <w:bCs/>
          <w:b/>
        </w:rPr>
        <w:t xml:space="preserve">Biến FSTS</w:t>
      </w:r>
      <w:r>
        <w:t xml:space="preserve">:</w:t>
      </w:r>
      <w:r>
        <w:t xml:space="preserve"> </w:t>
      </w:r>
      <w:r>
        <w:rPr>
          <w:rStyle w:val="VerbatimChar"/>
        </w:rPr>
        <w:t xml:space="preserve">FSTS = (d3b + d3c) / 100</w:t>
      </w:r>
      <w:r>
        <w:t xml:space="preserve">. Với PICS3: d3b = % xuất khẩu trực tiếp; d3c = % xuất khẩu gián tiếp. Tổng FSTS ≤ 100%.</w:t>
      </w:r>
    </w:p>
    <w:p>
      <w:pPr>
        <w:numPr>
          <w:ilvl w:val="0"/>
          <w:numId w:val="1005"/>
        </w:numPr>
        <w:pStyle w:val="Compact"/>
      </w:pPr>
      <w:r>
        <w:rPr>
          <w:bCs/>
          <w:b/>
        </w:rPr>
        <w:t xml:space="preserve">Biến LP</w:t>
      </w:r>
      <w:r>
        <w:t xml:space="preserve">:</w:t>
      </w:r>
      <w:r>
        <w:t xml:space="preserve"> </w:t>
      </w:r>
      <w:r>
        <w:rPr>
          <w:rStyle w:val="VerbatimChar"/>
        </w:rPr>
        <w:t xml:space="preserve">ln(annual_sales / l1_employees)</w:t>
      </w:r>
      <w:r>
        <w:t xml:space="preserve">. Doanh thu winsorize ở 1/99 phân vị trong cụm quốc gia × năm.</w:t>
      </w:r>
    </w:p>
    <w:p>
      <w:pPr>
        <w:numPr>
          <w:ilvl w:val="0"/>
          <w:numId w:val="1005"/>
        </w:numPr>
        <w:pStyle w:val="Compact"/>
      </w:pPr>
      <w:r>
        <w:rPr>
          <w:bCs/>
          <w:b/>
        </w:rPr>
        <w:t xml:space="preserve">Biến TCI (Technological Capability Index)</w:t>
      </w:r>
      <w:r>
        <w:t xml:space="preserve">: z-standardized mean của ≥3 trong 4 thành phần: ISO (b8), R&amp;D (h8), innovation_product (h1), foreign_tech (e6). Yêu cầu ≥3 non-missing để tính tổng hợp.</w:t>
      </w:r>
    </w:p>
    <w:p>
      <w:pPr>
        <w:numPr>
          <w:ilvl w:val="0"/>
          <w:numId w:val="1005"/>
        </w:numPr>
        <w:pStyle w:val="Compact"/>
      </w:pPr>
      <w:r>
        <w:rPr>
          <w:bCs/>
          <w:b/>
        </w:rPr>
        <w:t xml:space="preserve">Biến DAI (Digital Adoption Index)</w:t>
      </w:r>
      <w:r>
        <w:t xml:space="preserve">: Spec 1 (full coverage 2009–2025): website binary (c22b/e8) —</w:t>
      </w:r>
      <w:r>
        <w:t xml:space="preserve"> </w:t>
      </w:r>
      <w:r>
        <w:rPr>
          <w:bCs/>
          <w:b/>
        </w:rPr>
        <w:t xml:space="preserve">Tier-1 Digital Presence</w:t>
      </w:r>
      <w:r>
        <w:t xml:space="preserve">. Spec 2 (BREADY 2018+ only): z-standardized composite website + e-payment intensity (k33/k38) —</w:t>
      </w:r>
      <w:r>
        <w:t xml:space="preserve"> </w:t>
      </w:r>
      <w:r>
        <w:rPr>
          <w:bCs/>
          <w:b/>
        </w:rPr>
        <w:t xml:space="preserve">Tier-2 Digital Transformation</w:t>
      </w:r>
      <w:r>
        <w:t xml:space="preserve">.</w:t>
      </w:r>
    </w:p>
    <w:p>
      <w:pPr>
        <w:numPr>
          <w:ilvl w:val="0"/>
          <w:numId w:val="1005"/>
        </w:numPr>
        <w:pStyle w:val="Compact"/>
      </w:pPr>
      <w:r>
        <w:rPr>
          <w:bCs/>
          <w:b/>
        </w:rPr>
        <w:t xml:space="preserve">Pipeline Python</w:t>
      </w:r>
      <w:r>
        <w:t xml:space="preserve">:</w:t>
      </w:r>
      <w:r>
        <w:t xml:space="preserve"> </w:t>
      </w:r>
      <w:r>
        <w:rPr>
          <w:rStyle w:val="VerbatimChar"/>
        </w:rPr>
        <w:t xml:space="preserve">wbes/02_harmonize.py</w:t>
      </w:r>
      <w:r>
        <w:t xml:space="preserve"> </w:t>
      </w:r>
      <w:r>
        <w:t xml:space="preserve">tái lập được — 5 bước xử lý từ raw WBES đến clean pool 101.185 doanh nghiệp.</w:t>
      </w:r>
    </w:p>
    <w:p>
      <w:pPr>
        <w:pStyle w:val="FirstParagraph"/>
      </w:pPr>
      <w:r>
        <w:rPr>
          <w:bCs/>
          <w:b/>
        </w:rPr>
        <w:t xml:space="preserve">Xử lý missing values</w:t>
      </w:r>
      <w:r>
        <w:t xml:space="preserve">: Quan sát thiếu FSTS = 0 nếu doanh nghiệp không xuất khẩu (d3a = "No"); gán missing nếu không trả lời. TCI yêu cầu ≥3/4 components. LP gán missing nếu doanh thu hoặc số lao động = 0 hoặc không có. Ngưỡng quan sát tối thiểu: 5 cho mean/median; 30 cho CAGR.</w:t>
      </w:r>
    </w:p>
    <w:bookmarkEnd w:id="38"/>
    <w:bookmarkStart w:id="39" w:name="X1e618836674479927030345abea47030c40ae73"/>
    <w:p>
      <w:pPr>
        <w:pStyle w:val="Heading3"/>
      </w:pPr>
      <w:r>
        <w:t xml:space="preserve">2.5 Ba khung lý thuyết nền</w:t>
      </w:r>
    </w:p>
    <w:p>
      <w:pPr>
        <w:pStyle w:val="FirstParagraph"/>
      </w:pPr>
      <w:r>
        <w:t xml:space="preserve">Ba khung lý thuyết cung cấp nền tảng giải thích cho các pattern thực trạng được quan sát trong Chương 4–6:</w:t>
      </w:r>
    </w:p>
    <w:p>
      <w:pPr>
        <w:pStyle w:val="BodyText"/>
      </w:pPr>
      <w:r>
        <w:rPr>
          <w:bCs/>
          <w:b/>
        </w:rPr>
        <w:t xml:space="preserve">Khung 1 — Lý thuyết Uppsala (Uppsala Model)</w:t>
      </w:r>
      <w:r>
        <w:t xml:space="preserve"> </w:t>
      </w:r>
      <w:r>
        <w:t xml:space="preserve">(Johanson &amp; Vahlne, 1977, 2009): Doanh nghiệp quốc tế hóa theo</w:t>
      </w:r>
      <w:r>
        <w:t xml:space="preserve"> </w:t>
      </w:r>
      <w:r>
        <w:rPr>
          <w:bCs/>
          <w:b/>
        </w:rPr>
        <w:t xml:space="preserve">lộ trình tiệm tiến (incremental path)</w:t>
      </w:r>
      <w:r>
        <w:t xml:space="preserve">, bắt đầu từ các thị trường gần về tâm lý (psychic distance nhỏ) rồi mở rộng dần. Phiên bản 2009 cập nhật: mạng lưới quan hệ kinh doanh (business network) thay thế khoảng cách tâm lý như cơ chế dẫn dắt. Hàm ý cho chuyên đề: (a) pattern FSTS thấp ở SIDS Pacific (6,3%) và FDI-linked high FSTS ở Vietnam (23,2%) phù hợp với đường cong học hỏi Uppsala; (b) DAI (digital tools) như Banalieva &amp; Dhanaraj (2019) lập luận, có thể rút ngắn lộ trình tiệm tiến ở giai đoạn đầu — nhưng cần Tier-2 capability để phát huy đầy đủ.</w:t>
      </w:r>
    </w:p>
    <w:p>
      <w:pPr>
        <w:pStyle w:val="BodyText"/>
      </w:pPr>
      <w:r>
        <w:rPr>
          <w:bCs/>
          <w:b/>
        </w:rPr>
        <w:t xml:space="preserve">Khung 2 — Quan điểm dựa trên nguồn lực và năng lực động</w:t>
      </w:r>
      <w:r>
        <w:t xml:space="preserve"> </w:t>
      </w:r>
      <w:r>
        <w:t xml:space="preserve">(Resource-Based View + Dynamic Capabilities) (Barney,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 giải thích tại sao Advanced innovation-driven (ISO 29,9%, R&amp;D 16,7%) có năng suất vượt trội; (b) khả năng hấp thụ (Cohen &amp; Levinthal, 1990) giải thích tại sao FDI-spillover tác động tích cực hơn ở Ấn Độ với R&amp;D 19,8% so với Việt Nam 6,1%.</w:t>
      </w:r>
    </w:p>
    <w:p>
      <w:pPr>
        <w:pStyle w:val="BodyText"/>
      </w:pPr>
      <w:r>
        <w:rPr>
          <w:bCs/>
          <w:b/>
        </w:rPr>
        <w:t xml:space="preserve">Khung 3 — Lý thuyết thể chế</w:t>
      </w:r>
      <w:r>
        <w:t xml:space="preserve"> </w:t>
      </w:r>
      <w:r>
        <w:t xml:space="preserve">(Institutional Theory) (North, 1990; Scott, 1995; Peng, 2001, 2003): Thể chế — luật pháp, chuẩn mực, quy tắc phi chính thức —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 lý giải tại sao quan hệ I→P không đồng nhất xuyên chế độ thể chế. Hàm ý: (a) bốn lần đảo dấu của hệ số FDI/FSTS/TCI/DAI xuyên 5 phân nhóm con ICRV (Bảng 6.1) là bằng chứng trực tiếp cho institutional moderation; (b) Xu (2024) làm sâu thêm bằng phân biệt</w:t>
      </w:r>
      <w:r>
        <w:t xml:space="preserve"> </w:t>
      </w:r>
      <w:r>
        <w:rPr>
          <w:bCs/>
          <w:b/>
        </w:rPr>
        <w:t xml:space="preserve">de jure exposure</w:t>
      </w:r>
      <w:r>
        <w:t xml:space="preserve"> </w:t>
      </w:r>
      <w:r>
        <w:t xml:space="preserve">(luật trên giấy) vs</w:t>
      </w:r>
      <w:r>
        <w:t xml:space="preserve"> </w:t>
      </w:r>
      <w:r>
        <w:rPr>
          <w:bCs/>
          <w:b/>
        </w:rPr>
        <w:t xml:space="preserve">de facto enforcement</w:t>
      </w:r>
      <w:r>
        <w:t xml:space="preserve"> </w:t>
      </w:r>
      <w:r>
        <w:t xml:space="preserve">(thực thi thực tế) — giải thích tại sao Vietnam và China có gap lớn giữa hai tầng này; (c) khung ICRV 6 nhóm trong Chương 3 của chuyên đề là operationalization của Institutional Theory theo hướng này.</w:t>
      </w:r>
    </w:p>
    <w:bookmarkEnd w:id="39"/>
    <w:bookmarkStart w:id="40" w:name="X4c0732984da07cecc2bb03685008189b4ec6c8b"/>
    <w:p>
      <w:pPr>
        <w:pStyle w:val="Heading3"/>
      </w:pPr>
      <w:r>
        <w:t xml:space="preserve">§2.6 ĐIỀU KIỆN BIÊN CHO U-CURVE LU &amp; BEAMISH (2004)</w:t>
      </w:r>
    </w:p>
    <w:p>
      <w:pPr>
        <w:pStyle w:val="FirstParagraph"/>
      </w:pPr>
      <w:r>
        <w:t xml:space="preserve">Phân tích nội bộ khuyến nghị: việc nhét khái niệm "chi phí buộc phải quốc tế hóa SIDS Pacific" vào §4.4 file 15 làm mờ ranh giới giữa hai loại điều tiết thể chế —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w:t>
      </w:r>
      <w:r>
        <w:t xml:space="preserve">— không phải dị biệt ngẫu nhiên mà là điều kiện biên (boundary condition —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pStyle w:val="BodyText"/>
      </w:pPr>
      <w:r>
        <w:t xml:space="preserve">(1)</w:t>
      </w:r>
      <w:r>
        <w:t xml:space="preserve"> </w:t>
      </w: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pStyle w:val="BodyText"/>
      </w:pPr>
      <w:r>
        <w:t xml:space="preserve">(2)</w:t>
      </w:r>
      <w:r>
        <w:t xml:space="preserve"> </w:t>
      </w: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pStyle w:val="BodyText"/>
      </w:pPr>
      <w:r>
        <w:t xml:space="preserve">(3)</w:t>
      </w:r>
      <w:r>
        <w:t xml:space="preserve"> </w:t>
      </w: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BodyText"/>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p>
    <w:p>
      <w:pPr>
        <w:numPr>
          <w:ilvl w:val="0"/>
          <w:numId w:val="1006"/>
        </w:numPr>
        <w:pStyle w:val="Compact"/>
      </w:pPr>
      <w:r>
        <w:rPr>
          <w:bCs/>
          <w:b/>
        </w:rPr>
        <w:t xml:space="preserve">§3 ICRV regime classification</w:t>
      </w:r>
      <w:r>
        <w:t xml:space="preserve">: Singapore = Advanced innovation (trạng thái A); Việt Nam = Emerging (trạng thái B); SIDS Pacific = boundary case extension (trạng thái C) — tách 3 trạng thái thay vì gộp;</w:t>
      </w:r>
    </w:p>
    <w:p>
      <w:pPr>
        <w:numPr>
          <w:ilvl w:val="0"/>
          <w:numId w:val="1006"/>
        </w:numPr>
        <w:pStyle w:val="Compact"/>
      </w:pPr>
      <w:r>
        <w:rPr>
          <w:bCs/>
          <w:b/>
        </w:rPr>
        <w:t xml:space="preserve">§5.2 (Singapore archetype)</w:t>
      </w:r>
      <w:r>
        <w:t xml:space="preserve"> </w:t>
      </w:r>
      <w:r>
        <w:t xml:space="preserve">+</w:t>
      </w:r>
      <w:r>
        <w:t xml:space="preserve"> </w:t>
      </w:r>
      <w:r>
        <w:rPr>
          <w:bCs/>
          <w:b/>
        </w:rPr>
        <w:t xml:space="preserve">§5.7 (Pacific SIDS case)</w:t>
      </w:r>
      <w:r>
        <w:t xml:space="preserve"> </w:t>
      </w:r>
      <w:r>
        <w:t xml:space="preserve">trong file 16;</w:t>
      </w:r>
    </w:p>
    <w:p>
      <w:pPr>
        <w:numPr>
          <w:ilvl w:val="0"/>
          <w:numId w:val="1006"/>
        </w:numPr>
        <w:pStyle w:val="Compact"/>
      </w:pPr>
      <w:r>
        <w:rPr>
          <w:bCs/>
          <w:b/>
        </w:rPr>
        <w:t xml:space="preserve">CĐ2 H6 (forced internationalization penalty)</w:t>
      </w:r>
      <w:r>
        <w:t xml:space="preserve">: dự đoán ở SIDS Pacific (trạng thái C), FSTS KHÔNG correlate với năng suất vì U-curve không vận hành — hệ số FSTS ở SIDS sẽ không-significant hoặc đảo dấu so với Advanced/Emerging.</w:t>
      </w:r>
    </w:p>
    <w:bookmarkEnd w:id="40"/>
    <w:bookmarkStart w:id="41" w:name="X5b689c7d2dbcc4ff74ca289d1b9bebaa55c18a2"/>
    <w:p>
      <w:pPr>
        <w:pStyle w:val="Heading3"/>
      </w:pPr>
      <w:r>
        <w:t xml:space="preserve">§2.7 KHUNG 4-TIER CHUYỂN ĐỔI SỐ + MÔ HÌNH NĂNG LỰC SỐ PHỤ THUỘC BỐI CẢNH</w:t>
      </w:r>
    </w:p>
    <w:p>
      <w:pPr>
        <w:pStyle w:val="FirstParagraph"/>
      </w:pPr>
      <w:r>
        <w:t xml:space="preserve">Phân tích đối chiếu nội bộ (đối chiếu hai bản thảo của tác giả: P3 Singapore — Mar et al., 2026,</w:t>
      </w:r>
      <w:r>
        <w:t xml:space="preserve"> </w:t>
      </w:r>
      <w:r>
        <w:rPr>
          <w:iCs/>
          <w:i/>
        </w:rPr>
        <w:t xml:space="preserve">MIR</w:t>
      </w:r>
      <w:r>
        <w:t xml:space="preserve">; P4 Việt Nam — Đỗ &amp; Phan, 2026 —</w:t>
      </w:r>
      <w:r>
        <w:t xml:space="preserve"> </w:t>
      </w:r>
      <w:r>
        <w:rPr>
          <w:iCs/>
          <w:i/>
        </w:rPr>
        <w:t xml:space="preserve">APJM</w:t>
      </w:r>
      <w:r>
        <w:t xml:space="preserve">) chỉ ra một construct validity gap quan trọng: DAI đo lường trong cả 2 papers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 trước khi báo cáo descriptive results — để phòng tránh "overclaiming" trong khi nộp Hội đồng CTU + tránh "desk-reject" khi submit Q1/Q2 IB journals.</w:t>
      </w:r>
    </w:p>
    <w:p>
      <w:pPr>
        <w:pStyle w:val="BodyText"/>
      </w:pPr>
      <w:r>
        <w:rPr>
          <w:bCs/>
          <w:b/>
        </w:rPr>
        <w:t xml:space="preserve">Bốn tầng bậc số hóa theo Verhoef et al. (2021 —</w:t>
      </w:r>
      <w:r>
        <w:rPr>
          <w:bCs/>
          <w:b/>
        </w:rPr>
        <w:t xml:space="preserve"> </w:t>
      </w:r>
      <w:r>
        <w:rPr>
          <w:iCs/>
          <w:i/>
          <w:bCs/>
          <w:b/>
        </w:rPr>
        <w:t xml:space="preserve">Journal of Business Research</w:t>
      </w:r>
      <w:r>
        <w:rPr>
          <w:bCs/>
          <w:b/>
        </w:rPr>
        <w:t xml:space="preserv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 "năng lực số" trong CĐ1 + papers IB thuộc luận án phải hạn chế ở phạm vi</w:t>
      </w:r>
      <w:r>
        <w:t xml:space="preserve"> </w:t>
      </w:r>
      <w:r>
        <w:rPr>
          <w:bCs/>
          <w:b/>
        </w:rPr>
        <w:t xml:space="preserve">Foundational Digital Adoption (FDA)</w:t>
      </w:r>
      <w:r>
        <w:t xml:space="preserve">, KHÔNG mở rộng thành "Digital Capability" hay "Digital Transformation". Đây là tiêu chuẩn nhất quán xuyên CĐ1 / CĐ2 / luận án 5 chương.</w:t>
      </w:r>
    </w:p>
    <w:p>
      <w:pPr>
        <w:pStyle w:val="BodyText"/>
      </w:pPr>
      <w:r>
        <w:rPr>
          <w:bCs/>
          <w:b/>
        </w:rPr>
        <w:t xml:space="preserve">Mô hình Năng lực số phụ thuộc bối cảnh (Context-Contingent Digital Capability Model — CDCM)</w:t>
      </w:r>
      <w:r>
        <w:t xml:space="preserve"> </w:t>
      </w:r>
      <w:r>
        <w:t xml:space="preserve">— đóng góp lý thuyết MỚI hợp nhất hai papers:</w:t>
      </w:r>
    </w:p>
    <w:p>
      <w:pPr>
        <w:pStyle w:val="BodyText"/>
      </w:pPr>
      <w:r>
        <w:t xml:space="preserve">CDCM hợp nhất phát hiện Singapore P3 (Mar et al., 2026) + Việt Nam P4 (Đỗ &amp; Phan, 2026 —</w:t>
      </w:r>
      <w:r>
        <w:t xml:space="preserve"> </w:t>
      </w:r>
      <w:r>
        <w:rPr>
          <w:iCs/>
          <w:i/>
        </w:rPr>
        <w:t xml:space="preserve">APJM</w:t>
      </w:r>
      <w:r>
        <w:t xml:space="preserve">)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 —</w:t>
      </w:r>
      <w:r>
        <w:t xml:space="preserve"> </w:t>
      </w:r>
      <w:r>
        <w:rPr>
          <w:iCs/>
          <w:i/>
        </w:rPr>
        <w:t xml:space="preserve">scarce advantage</w:t>
      </w:r>
      <w:r>
        <w:t xml:space="preserve"> </w:t>
      </w:r>
      <w:r>
        <w:t xml:space="preserve">giúp doanh nghiệp vượt rào cản quốc tế hóa (TCIz IV β=1,639, p&lt;,001 robust 2SLS — Đỗ &amp; Phan, 2026 —</w:t>
      </w:r>
      <w:r>
        <w:t xml:space="preserve"> </w:t>
      </w:r>
      <w:r>
        <w:rPr>
          <w:iCs/>
          <w:i/>
        </w:rPr>
        <w:t xml:space="preserve">APJM</w:t>
      </w:r>
      <w:r>
        <w:t xml:space="preserve">). Singapore —</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p>
    <w:p>
      <w:pPr>
        <w:numPr>
          <w:ilvl w:val="0"/>
          <w:numId w:val="1007"/>
        </w:numPr>
        <w:pStyle w:val="Compact"/>
      </w:pP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p>
    <w:p>
      <w:pPr>
        <w:numPr>
          <w:ilvl w:val="0"/>
          <w:numId w:val="1007"/>
        </w:numPr>
        <w:pStyle w:val="Compact"/>
      </w:pPr>
      <w:r>
        <w:rPr>
          <w:bCs/>
          <w:b/>
        </w:rPr>
        <w:t xml:space="preserve">Specification 2</w:t>
      </w:r>
      <w:r>
        <w:t xml:space="preserve"> </w:t>
      </w:r>
      <w:r>
        <w:t xml:space="preserve">(Tier 1+2 multi-component, BREADY 2018+ wave): expected positive coefficient + interaction với FSTS² dương ở Advanced — replication pattern Singapore P3;</w:t>
      </w:r>
    </w:p>
    <w:p>
      <w:pPr>
        <w:numPr>
          <w:ilvl w:val="0"/>
          <w:numId w:val="1007"/>
        </w:numPr>
        <w:pStyle w:val="Compact"/>
      </w:pPr>
      <w:r>
        <w:rPr>
          <w:bCs/>
          <w:b/>
        </w:rPr>
        <w:t xml:space="preserve">Robustness check #10</w:t>
      </w:r>
      <w:r>
        <w:t xml:space="preserve"> </w:t>
      </w:r>
      <w:r>
        <w:t xml:space="preserve">(mới): cross-validation construct boundary — chạy Spec 2 chỉ ở 41 nước có đủ Tier 1+2 data (BREADY+ wave); confirm rằng pattern Singapore-style emerges khi có composite digital adoption metric;</w:t>
      </w:r>
    </w:p>
    <w:p>
      <w:pPr>
        <w:numPr>
          <w:ilvl w:val="0"/>
          <w:numId w:val="1007"/>
        </w:numPr>
        <w:pStyle w:val="Compact"/>
      </w:pP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 "đòn bẩy" (lever) và "điểm nghẽn" (bottleneck) của số hóa theo cấp tầng và cường độ xuất khẩu.</w:t>
      </w:r>
    </w:p>
    <w:p>
      <w:pPr>
        <w:pStyle w:val="FirstParagraph"/>
      </w:pPr>
      <w:r>
        <w:rPr>
          <w:bCs/>
          <w:b/>
        </w:rPr>
        <w:t xml:space="preserve">Tham chiếu</w:t>
      </w:r>
      <w:r>
        <w:t xml:space="preserve">: Verhoef et al. (2021); Bharadwaj et al. (2013); Brynjolfsson &amp; McAfee (2014);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APJM</w:t>
      </w:r>
      <w:r>
        <w:t xml:space="preserve">); Coase (1937); Williamson (1985); Banalieva &amp; Dhanaraj (2019).</w:t>
      </w:r>
    </w:p>
    <w:p>
      <w:r>
        <w:pict>
          <v:rect style="width:0;height:1.5pt" o:hralign="center" o:hrstd="t" o:hr="t"/>
        </w:pict>
      </w:r>
    </w:p>
    <w:bookmarkEnd w:id="41"/>
    <w:bookmarkEnd w:id="42"/>
    <w:bookmarkStart w:id="47" w:name="X88846fb419345082f0ac77ff5bd76369640769c"/>
    <w:p>
      <w:pPr>
        <w:pStyle w:val="Heading2"/>
      </w:pPr>
      <w:r>
        <w:t xml:space="preserve">CHƯƠNG 3 — KHUNG PHÂN LOẠI 6 PHÂN NHÓM CON ICRV</w:t>
      </w:r>
    </w:p>
    <w:bookmarkStart w:id="43" w:name="Xd2578175cbd01619a7b56d242704b8d3c363398"/>
    <w:p>
      <w:pPr>
        <w:pStyle w:val="Heading3"/>
      </w:pPr>
      <w:r>
        <w:t xml:space="preserve">3.1 Lý do phân loại</w:t>
      </w:r>
    </w:p>
    <w:p>
      <w:pPr>
        <w:pStyle w:val="FirstParagraph"/>
      </w:pPr>
      <w:r>
        <w:t xml:space="preserve">Châu Á không phải là một khối đồng nhất về thể chế. Các nghiên cứu meta-analysis (Marano et al., 2016; Wu et al., 2022) đã ghi nhận rằng bối cảnh thể chế là biến điều tiết quan trọng nhất trong quan hệ I→P — nhưng không có nghiên cứu nào thiết lập hệ thống phân loại thể chế toàn diện cho 47 nền kinh tế châu Á. Khung phân loại ICRV (Institutional Context Regime Variation) được đề xuất trong chuyên đề này nhằm lấp khoảng trống đó, dựa trên bốn nguyên tắc:</w:t>
      </w:r>
    </w:p>
    <w:p>
      <w:pPr>
        <w:pStyle w:val="BodyText"/>
      </w:pPr>
      <w:r>
        <w:t xml:space="preserve">(a)</w:t>
      </w:r>
      <w:r>
        <w:t xml:space="preserve"> </w:t>
      </w:r>
      <w:r>
        <w:rPr>
          <w:bCs/>
          <w:b/>
        </w:rPr>
        <w:t xml:space="preserve">Tính phân biệt</w:t>
      </w:r>
      <w:r>
        <w:t xml:space="preserve"> </w:t>
      </w:r>
      <w:r>
        <w:t xml:space="preserve">(discriminating power): mỗi nhóm phải có mô hình hiệu quả doanh nghiệp khác biệt thực sự — không chỉ khác nhau về mức GDP per capita;</w:t>
      </w:r>
    </w:p>
    <w:p>
      <w:pPr>
        <w:pStyle w:val="BodyTex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vs thể chế tài nguyên vs thể chế chuyển đổi, v.v.) theo Varieties of Capitalism (Hall &amp; Soskice, 2001) và Institutional Theory (North, 1990);</w:t>
      </w:r>
    </w:p>
    <w:p>
      <w:pPr>
        <w:pStyle w:val="BodyTex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p>
      <w:pPr>
        <w:pStyle w:val="BodyText"/>
      </w:pPr>
      <w:r>
        <w:t xml:space="preserve">(d)</w:t>
      </w:r>
      <w:r>
        <w:t xml:space="preserve"> </w:t>
      </w:r>
      <w:r>
        <w:rPr>
          <w:bCs/>
          <w:b/>
        </w:rPr>
        <w:t xml:space="preserve">Tính minh bạch và tái tạo</w:t>
      </w:r>
      <w:r>
        <w:t xml:space="preserve">: tiêu chí phân loại phải rõ ràng và có thể áp dụng nhất quán.</w:t>
      </w:r>
    </w:p>
    <w:bookmarkEnd w:id="43"/>
    <w:bookmarkStart w:id="44" w:name="X3845b457b946f18afb8376847a41383cef499f6"/>
    <w:p>
      <w:pPr>
        <w:pStyle w:val="Heading3"/>
      </w:pPr>
      <w:r>
        <w:t xml:space="preserve">3.2 Tiêu chí phân loại sáu nhóm</w:t>
      </w:r>
    </w:p>
    <w:p>
      <w:pPr>
        <w:pStyle w:val="FirstParagraph"/>
      </w:pPr>
      <w:r>
        <w:rPr>
          <w:bCs/>
          <w:b/>
        </w:rPr>
        <w:t xml:space="preserve">Nhóm I — Advanced đổi mới sáng tạo dẫn dắt (Innovation-driven)</w:t>
      </w:r>
      <w:r>
        <w:t xml:space="preserve">: WGI Rule of Law &gt;+0,80; GNI per capita &gt;$30.000 (WB Atlas method); GDP tăng trưởng dựa trên đổi mới công nghệ, dịch vụ tài chính và hàm lượng tri thức cao. Bằng chứng WBES: R&amp;D &gt;10%, ISO &gt;20%, sd log năng suất ~1,03 (diversified).</w:t>
      </w:r>
    </w:p>
    <w:p>
      <w:pPr>
        <w:pStyle w:val="BodyText"/>
      </w:pPr>
      <w:r>
        <w:rPr>
          <w:bCs/>
          <w:b/>
        </w:rPr>
        <w:t xml:space="preserve">Nhóm II — Advanced tài nguyên dẫn dắt (Resource-driven)</w:t>
      </w:r>
      <w:r>
        <w:t xml:space="preserve">: WGI Rule of Law trung bình (+0,00 → +0,50); GNI per capita &gt;$20.000; GDP tăng trưởng dựa trên xuất khẩu tài nguyên thiên nhiên (dầu mỏ, khí đốt, khoáng sản). Bằng chứng WBES: FDI cao hướng khai thác tài nguyên, sd log năng suất thấp (~0,49 — đặc trưng nhà nước tô rentier state).</w:t>
      </w:r>
    </w:p>
    <w:p>
      <w:pPr>
        <w:pStyle w:val="BodyText"/>
      </w:pPr>
      <w:r>
        <w:rPr>
          <w:bCs/>
          <w:b/>
        </w:rPr>
        <w:t xml:space="preserve">Nhóm III — Trung bình cao (Upper-middle)</w:t>
      </w:r>
      <w:r>
        <w:t xml:space="preserve">: WGI Rule of Law 0,00 → +0,80; GNI per capita $5.000–$20.000; nền kinh tế chuyển đổi từ manufacturing sang dịch vụ, với R&amp;D đang tăng (đặc biệt Trung Quốc). WBES pattern: manufacturing FSTS cao, R&amp;D tăng mạnh giai đoạn 2018–2025 (+21,5 đpt Upper-middle).</w:t>
      </w:r>
    </w:p>
    <w:p>
      <w:pPr>
        <w:pStyle w:val="BodyText"/>
      </w:pPr>
      <w:r>
        <w:rPr>
          <w:bCs/>
          <w:b/>
        </w:rPr>
        <w:t xml:space="preserve">Nhóm IV — Đang nổi (Emerging)</w:t>
      </w:r>
      <w:r>
        <w:t xml:space="preserve">: WGI Rule of Law -0,50 → 0,00; GNI per capita $1.000–$5.000; tốc độ tăng trưởng cao nhưng gap de jure–de facto lớn (Xu, 2024); manufacturing FDI-driven dẫn dắt xuất khẩu. WBES pattern: FSTS phân cực cao/thấp trong nội bộ nhóm; FDI thấp nhất (4,7%) — do doanh nghiệp nội địa chi phối sample.</w:t>
      </w:r>
    </w:p>
    <w:p>
      <w:pPr>
        <w:pStyle w:val="BodyText"/>
      </w:pPr>
      <w:r>
        <w:rPr>
          <w:bCs/>
          <w:b/>
        </w:rPr>
        <w:t xml:space="preserve">Nhóm V — Cận biên (Frontier)</w:t>
      </w:r>
      <w:r>
        <w:t xml:space="preserve">: WGI Rule of Law &lt; -0,50; GNI per capita &lt;$1.000 hoặc &lt;$3.000 với voids thể chế lớn; nhiều nước đang qua giai đoạn xung đột hoặc chuyển đổi sau xung đột. WBES pattern: phân tán năng suất cao nhất (sd log 1,36), R&amp;D thấp nhất, nhưng đổi mới sản phẩm cao (bricolage innovation).</w:t>
      </w:r>
    </w:p>
    <w:p>
      <w:pPr>
        <w:pStyle w:val="BodyText"/>
      </w:pPr>
      <w:r>
        <w:rPr>
          <w:bCs/>
          <w:b/>
        </w:rPr>
        <w:t xml:space="preserve">Nhóm VI — SIDS Thái Bình Dương (Boundary case extension)</w:t>
      </w:r>
      <w:r>
        <w:t xml:space="preserve">: Dân số &lt;1 triệu; cô lập địa lý &gt;2.000 km từ hub thương mại; phụ thuộc ODA + remittances &gt; 20% GDP; MIRAB model (Bertram, 2006). WBES pattern: n=1.371 (1,4% pool); FDI cao nhất (23,5% — do MNE tourism); innovation product cao nhất (41,5% — bricolage); website cao trừ Kiribati (18,7%).</w:t>
      </w:r>
    </w:p>
    <w:bookmarkEnd w:id="44"/>
    <w:bookmarkStart w:id="45" w:name="X959e690f11f175b0b0a0f100bcd2278ab1f4289"/>
    <w:p>
      <w:pPr>
        <w:pStyle w:val="Heading3"/>
      </w:pPr>
      <w:r>
        <w:t xml:space="preserve">3.3 Danh sách 47 nền kinh tế theo nhóm ICRV (Bảng 3.1)</w:t>
      </w:r>
    </w:p>
    <w:p>
      <w:pPr>
        <w:pStyle w:val="FirstParagraph"/>
      </w:pPr>
      <w:r>
        <w:rPr>
          <w:bCs/>
          <w:b/>
        </w:rPr>
        <w:t xml:space="preserve">Bảng 3.1</w:t>
      </w:r>
      <w:r>
        <w:t xml:space="preserve">.</w:t>
      </w:r>
      <w:r>
        <w:t xml:space="preserve"> </w:t>
      </w:r>
      <w:r>
        <w:rPr>
          <w:iCs/>
          <w:i/>
        </w:rPr>
        <w:t xml:space="preserve">Phân loại 47 nền kinh tế vào 6 nhóm ICRV — tiêu chí và n_firms.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 (ISO3)</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 innovation-driven</w:t>
            </w:r>
          </w:p>
        </w:tc>
        <w:tc>
          <w:tcPr/>
          <w:p>
            <w:pPr>
              <w:pStyle w:val="Compact"/>
              <w:jc w:val="left"/>
            </w:pPr>
            <w:r>
              <w:t xml:space="preserve">SGP, HKG, KOR, TWN, ISR</w:t>
            </w:r>
          </w:p>
        </w:tc>
        <w:tc>
          <w:tcPr/>
          <w:p>
            <w:pPr>
              <w:pStyle w:val="Compact"/>
              <w:jc w:val="left"/>
            </w:pPr>
            <w:r>
              <w:t xml:space="preserve">~4.220</w:t>
            </w:r>
          </w:p>
        </w:tc>
      </w:tr>
      <w:tr>
        <w:tc>
          <w:tcPr/>
          <w:p>
            <w:pPr>
              <w:pStyle w:val="Compact"/>
              <w:jc w:val="left"/>
            </w:pPr>
            <w:r>
              <w:rPr>
                <w:bCs/>
                <w:b/>
              </w:rPr>
              <w:t xml:space="preserve">II</w:t>
            </w:r>
          </w:p>
        </w:tc>
        <w:tc>
          <w:tcPr/>
          <w:p>
            <w:pPr>
              <w:pStyle w:val="Compact"/>
              <w:jc w:val="left"/>
            </w:pPr>
            <w:r>
              <w:t xml:space="preserve">Advanced — resource-driven</w:t>
            </w:r>
          </w:p>
        </w:tc>
        <w:tc>
          <w:tcPr/>
          <w:p>
            <w:pPr>
              <w:pStyle w:val="Compact"/>
              <w:jc w:val="left"/>
            </w:pPr>
            <w:r>
              <w:t xml:space="preserve">SAU, QAT, KWT, BHR, BRN</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CHN, MYS, THA, KAZ, ARM, GEO</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VNM, IDN, PHL, IND, LKA, JOR, MNG</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BGD, PAK, LAO, KHM, MMR, NPL, BTN, MDV, UZB, TJK, KGZ, TKM, AFG, TLS, IRQ, LBN, YEM</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FJI, PNG, SLB, TON, VUT, WSM, KIR</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xấp xỉ theo pool 101.185; tổng 5 nhóm chính (I–V) = 99.814 (scope chính 41 nước châu Á); SIDS Nhóm VI = 1.371 (1,4% pool).</w:t>
      </w:r>
    </w:p>
    <w:bookmarkEnd w:id="45"/>
    <w:bookmarkStart w:id="46" w:name="X81d0715f49391da51ec051f3d91a0c31cfb6b0e"/>
    <w:p>
      <w:pPr>
        <w:pStyle w:val="Heading3"/>
      </w:pPr>
      <w:r>
        <w:t xml:space="preserve">3.4 Đặc điểm các nhóm ICRV (Bảng 3.2)</w:t>
      </w:r>
    </w:p>
    <w:p>
      <w:pPr>
        <w:pStyle w:val="FirstParagraph"/>
      </w:pPr>
      <w:r>
        <w:rPr>
          <w:bCs/>
          <w:b/>
        </w:rPr>
        <w:t xml:space="preserve">Bảng 3.2</w:t>
      </w:r>
      <w:r>
        <w:t xml:space="preserve">.</w:t>
      </w:r>
      <w:r>
        <w:t xml:space="preserve"> </w:t>
      </w:r>
      <w:r>
        <w:rPr>
          <w:iCs/>
          <w:i/>
        </w:rPr>
        <w:t xml:space="preserve">Đặc điểm điển hình của 6 nhóm ICRV — WGI, GNI, cơ chế tăng trưởng, pattern WBES dự kiến.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I→P</w:t>
            </w:r>
          </w:p>
        </w:tc>
      </w:tr>
      <w:tr>
        <w:tc>
          <w:tcPr/>
          <w:p>
            <w:pPr>
              <w:pStyle w:val="Compact"/>
              <w:jc w:val="left"/>
            </w:pPr>
            <w:r>
              <w:t xml:space="preserve">I —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Inverted-U nhẹ / tuyến tính dương; TP ~82% (SG)</w:t>
            </w:r>
          </w:p>
        </w:tc>
      </w:tr>
      <w:tr>
        <w:tc>
          <w:tcPr/>
          <w:p>
            <w:pPr>
              <w:pStyle w:val="Compact"/>
              <w:jc w:val="left"/>
            </w:pPr>
            <w:r>
              <w:t xml:space="preserve">II — Resource</w:t>
            </w:r>
          </w:p>
        </w:tc>
        <w:tc>
          <w:tcPr/>
          <w:p>
            <w:pPr>
              <w:pStyle w:val="Compact"/>
              <w:jc w:val="left"/>
            </w:pPr>
            <w:r>
              <w:t xml:space="preserve">+0,00→+0,50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rentier state redistribution</w:t>
            </w:r>
          </w:p>
        </w:tc>
      </w:tr>
      <w:tr>
        <w:tc>
          <w:tcPr/>
          <w:p>
            <w:pPr>
              <w:pStyle w:val="Compact"/>
              <w:jc w:val="left"/>
            </w:pPr>
            <w:r>
              <w:t xml:space="preserve">III — Upper-mid</w:t>
            </w:r>
          </w:p>
        </w:tc>
        <w:tc>
          <w:tcPr/>
          <w:p>
            <w:pPr>
              <w:pStyle w:val="Compact"/>
              <w:jc w:val="left"/>
            </w:pPr>
            <w:r>
              <w:t xml:space="preserve">0,00→+0,80</w:t>
            </w:r>
          </w:p>
        </w:tc>
        <w:tc>
          <w:tcPr/>
          <w:p>
            <w:pPr>
              <w:pStyle w:val="Compact"/>
              <w:jc w:val="left"/>
            </w:pPr>
            <w:r>
              <w:t xml:space="preserve">$5k–$20k</w:t>
            </w:r>
          </w:p>
        </w:tc>
        <w:tc>
          <w:tcPr/>
          <w:p>
            <w:pPr>
              <w:pStyle w:val="Compact"/>
              <w:jc w:val="left"/>
            </w:pPr>
            <w:r>
              <w:t xml:space="preserve">Manufacturing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Inverted-U; TP ~47% (CHN Đỗ &amp; Phan, 2026 JFAR)</w:t>
            </w:r>
          </w:p>
        </w:tc>
      </w:tr>
      <w:tr>
        <w:tc>
          <w:tcPr/>
          <w:p>
            <w:pPr>
              <w:pStyle w:val="Compact"/>
              <w:jc w:val="left"/>
            </w:pPr>
            <w:r>
              <w:t xml:space="preserve">IV — Emerging</w:t>
            </w:r>
          </w:p>
        </w:tc>
        <w:tc>
          <w:tcPr/>
          <w:p>
            <w:pPr>
              <w:pStyle w:val="Compact"/>
              <w:jc w:val="left"/>
            </w:pPr>
            <w:r>
              <w:t xml:space="preserve">-0,50→0,00</w:t>
            </w:r>
          </w:p>
        </w:tc>
        <w:tc>
          <w:tcPr/>
          <w:p>
            <w:pPr>
              <w:pStyle w:val="Compact"/>
              <w:jc w:val="left"/>
            </w:pPr>
            <w:r>
              <w:t xml:space="preserve">$1k–$5k</w:t>
            </w:r>
          </w:p>
        </w:tc>
        <w:tc>
          <w:tcPr/>
          <w:p>
            <w:pPr>
              <w:pStyle w:val="Compact"/>
              <w:jc w:val="left"/>
            </w:pPr>
            <w:r>
              <w:t xml:space="preserve">FDI-driven manufacturing</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Inverted-U; TP 39–46% (VNM) — bẫy RDT</w:t>
            </w:r>
          </w:p>
        </w:tc>
      </w:tr>
      <w:tr>
        <w:tc>
          <w:tcPr/>
          <w:p>
            <w:pPr>
              <w:pStyle w:val="Compact"/>
              <w:jc w:val="left"/>
            </w:pPr>
            <w:r>
              <w:t xml:space="preserve">V — Frontier</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Subsistence + informal</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institutional voids → bricolage innovation</w:t>
            </w:r>
          </w:p>
        </w:tc>
      </w:tr>
      <w:tr>
        <w:tc>
          <w:tcPr/>
          <w:p>
            <w:pPr>
              <w:pStyle w:val="Compact"/>
              <w:jc w:val="left"/>
            </w:pPr>
            <w:r>
              <w:t xml:space="preserve">VI —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tourism</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Forced internationalization — U-curve không vận hành</w:t>
            </w:r>
          </w:p>
        </w:tc>
      </w:tr>
    </w:tbl>
    <w:p>
      <w:pPr>
        <w:pStyle w:val="BodyText"/>
      </w:pPr>
      <w:r>
        <w:rPr>
          <w:iCs/>
          <w:i/>
        </w:rPr>
        <w:t xml:space="preserve">Nguồn: Tổng hợp từ World Bank Enterprise Surveys (2025); WGI từ Kaufmann et al. (2011); GNI từ World Bank (2025, July). Pattern WBES từ phân tích Chương 4 và Đỗ &amp; Phan (2026 — VEFR, APJM, JFAR, MIR under review).</w:t>
      </w:r>
    </w:p>
    <w:p>
      <w:r>
        <w:pict>
          <v:rect style="width:0;height:1.5pt" o:hralign="center" o:hrstd="t" o:hr="t"/>
        </w:pict>
      </w:r>
    </w:p>
    <w:p>
      <w:r>
        <w:pict>
          <v:rect style="width:0;height:1.5pt" o:hralign="center" o:hrstd="t" o:hr="t"/>
        </w:pict>
      </w:r>
    </w:p>
    <w:bookmarkEnd w:id="46"/>
    <w:bookmarkEnd w:id="47"/>
    <w:bookmarkStart w:id="48" w:name="X95aae0d8593ff0d47f5fd36881a6c39072d65dc"/>
    <w:p>
      <w:pPr>
        <w:pStyle w:val="Heading2"/>
      </w:pPr>
      <w:r>
        <w:t xml:space="preserve">PHỤ LỤC H — BẢNG THUẬT NGỮ ANH-VIỆT (RÚT GỌN)</w:t>
      </w:r>
    </w:p>
    <w:p>
      <w:pPr>
        <w:pStyle w:val="FirstParagraph"/>
      </w:pPr>
      <w:r>
        <w:t xml:space="preserve">Phụ lục H trình bày bản đối chiếu Việt – Anh – Hán-Việt cho các thuật ngữ học thuật chuyên ngành sử dụng trong chuyên đề. Sáu nhóm thuật ngữ: (i) khái niệm hiệu quả; (ii) thước đo năng suất; (iii) khung lý thuyết; (iv) chỉ số WBES; (v) phương pháp thống kê; (vi) thể chế. Chi tiết bản đầy đủ xem</w:t>
      </w:r>
      <w:r>
        <w:t xml:space="preserve"> </w:t>
      </w:r>
      <w:r>
        <w:rPr>
          <w:rStyle w:val="VerbatimChar"/>
        </w:rPr>
        <w:t xml:space="preserve">thesis/09b_vn_term_glossary.md</w:t>
      </w:r>
      <w:r>
        <w:t xml:space="preserve">.</w:t>
      </w:r>
    </w:p>
    <w:p>
      <w:r>
        <w:pict>
          <v:rect style="width:0;height:1.5pt" o:hralign="center" o:hrstd="t" o:hr="t"/>
        </w:pict>
      </w:r>
    </w:p>
    <w:p>
      <w:pPr>
        <w:pStyle w:val="FirstParagraph"/>
      </w:pPr>
      <w:r>
        <w:rPr>
          <w:iCs/>
          <w:i/>
        </w:rPr>
        <w:t xml:space="preserve">Tiếp tục ở Phần 2 (Chương 4 —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bookmarkEnd w:id="48"/>
    <w:bookmarkEnd w:id="49"/>
    <w:bookmarkStart w:id="90" w:name="X4d4887336a46287d1c8ffd4122a52e974b8a650"/>
    <w:p>
      <w:pPr>
        <w:pStyle w:val="Heading1"/>
      </w:pPr>
      <w:r>
        <w:t xml:space="preserve">CHUYÊN ĐỀ TIẾN SĨ SỐ 1, BẢN NHÁP ĐẦY ĐỦ (PHẦN 2: CHƯƠNG 4, THỰC TRẠNG TỪ WBES)</w:t>
      </w:r>
    </w:p>
    <w:p>
      <w:pPr>
        <w:pStyle w:val="BlockText"/>
      </w:pPr>
      <w:r>
        <w:t xml:space="preserve">Tiếp nối</w:t>
      </w:r>
      <w:r>
        <w:t xml:space="preserve"> </w:t>
      </w:r>
      <w:r>
        <w:rPr>
          <w:rStyle w:val="VerbatimChar"/>
        </w:rPr>
        <w:t xml:space="preserve">thesis/14_cd1_part1_intro_theory_vi.md</w:t>
      </w:r>
      <w:r>
        <w:t xml:space="preserve">.</w:t>
      </w:r>
      <w:r>
        <w:t xml:space="preserve"> </w:t>
      </w:r>
      <w:r>
        <w:t xml:space="preserve">Phần 3 (Chương 5–7 + TLTK):</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w:t>
      </w:r>
      <w:r>
        <w:rPr>
          <w:bCs/>
          <w:b/>
        </w:rPr>
        <w:t xml:space="preserve">11 hình</w:t>
      </w:r>
      <w:r>
        <w:t xml:space="preserve">; chạy</w:t>
      </w:r>
      <w:r>
        <w:t xml:space="preserve"> </w:t>
      </w:r>
      <w:r>
        <w:rPr>
          <w:rStyle w:val="VerbatimChar"/>
        </w:rPr>
        <w:t xml:space="preserve">python3 generate_figures.py</w:t>
      </w:r>
      <w:r>
        <w:t xml:space="preserve"> </w:t>
      </w:r>
      <w:r>
        <w:t xml:space="preserve">để regen).</w:t>
      </w:r>
    </w:p>
    <w:p>
      <w:r>
        <w:pict>
          <v:rect style="width:0;height:1.5pt" o:hralign="center" o:hrstd="t" o:hr="t"/>
        </w:pict>
      </w:r>
    </w:p>
    <w:bookmarkStart w:id="89" w:name="X7d7445c3e22f444c24f6085672cd03a46e26387"/>
    <w:p>
      <w:pPr>
        <w:pStyle w:val="Heading2"/>
      </w:pPr>
      <w:r>
        <w:t xml:space="preserve">CHƯƠNG 4 — THỰC TRẠNG HIỆU QUẢ DOANH NGHIỆP CHÂU Á 2009–2025</w:t>
      </w:r>
    </w:p>
    <w:bookmarkStart w:id="56" w:name="X47eb90e4cdf5f2f13d93872f397578922bdca81"/>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drawing>
          <wp:inline>
            <wp:extent cx="5753100" cy="3141580"/>
            <wp:effectExtent b="0" l="0" r="0" t="0"/>
            <wp:docPr descr="Hình 4.1.1. Phân bố pool 5 phân nhóm con thể chế (n=101.185 doanh nghiệp)" title="" id="51" name="Picture"/>
            <a:graphic>
              <a:graphicData uri="http://schemas.openxmlformats.org/drawingml/2006/picture">
                <pic:pic>
                  <pic:nvPicPr>
                    <pic:cNvPr descr="figures/fig_4_1_pool_composition.png" id="52" name="Picture"/>
                    <pic:cNvPicPr>
                      <a:picLocks noChangeArrowheads="1" noChangeAspect="1"/>
                    </pic:cNvPicPr>
                  </pic:nvPicPr>
                  <pic:blipFill>
                    <a:blip r:embed="rId50"/>
                    <a:stretch>
                      <a:fillRect/>
                    </a:stretch>
                  </pic:blipFill>
                  <pic:spPr bwMode="auto">
                    <a:xfrm>
                      <a:off x="0" y="0"/>
                      <a:ext cx="5753100" cy="3141580"/>
                    </a:xfrm>
                    <a:prstGeom prst="rect">
                      <a:avLst/>
                    </a:prstGeom>
                    <a:noFill/>
                    <a:ln w="9525">
                      <a:noFill/>
                      <a:headEnd/>
                      <a:tailEnd/>
                    </a:ln>
                  </pic:spPr>
                </pic:pic>
              </a:graphicData>
            </a:graphic>
          </wp:inline>
        </w:drawing>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BodyText"/>
      </w:pPr>
      <w:r>
        <w:drawing>
          <wp:inline>
            <wp:extent cx="5753100" cy="2577276"/>
            <wp:effectExtent b="0" l="0" r="0" t="0"/>
            <wp:docPr descr="Hình 4.0. Phân bố mẫu 101.185 doanh nghiệp xuyên 17 năm (2009–2025) theo 3 thế hệ schema WBES" title="" id="54" name="Picture"/>
            <a:graphic>
              <a:graphicData uri="http://schemas.openxmlformats.org/drawingml/2006/picture">
                <pic:pic>
                  <pic:nvPicPr>
                    <pic:cNvPr descr="figures/fig_4_0_pool_by_year.png" id="55" name="Picture"/>
                    <pic:cNvPicPr>
                      <a:picLocks noChangeArrowheads="1" noChangeAspect="1"/>
                    </pic:cNvPicPr>
                  </pic:nvPicPr>
                  <pic:blipFill>
                    <a:blip r:embed="rId53"/>
                    <a:stretch>
                      <a:fillRect/>
                    </a:stretch>
                  </pic:blipFill>
                  <pic:spPr bwMode="auto">
                    <a:xfrm>
                      <a:off x="0" y="0"/>
                      <a:ext cx="5753100" cy="2577276"/>
                    </a:xfrm>
                    <a:prstGeom prst="rect">
                      <a:avLst/>
                    </a:prstGeom>
                    <a:noFill/>
                    <a:ln w="9525">
                      <a:noFill/>
                      <a:headEnd/>
                      <a:tailEnd/>
                    </a:ln>
                  </pic:spPr>
                </pic:pic>
              </a:graphicData>
            </a:graphic>
          </wp:inline>
        </w:drawing>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16.979 doanh nghiệp = 16,8%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56"/>
    <w:bookmarkStart w:id="60" w:name="X33f07a3ee753ab1f6a26234fee87f2de67a5fee"/>
    <w:p>
      <w:pPr>
        <w:pStyle w:val="Heading3"/>
      </w:pPr>
      <w:r>
        <w:t xml:space="preserve">4.2 Thực trạng năng suất lao động,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(n=108 cặp QG×năm,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(v3.1: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ở v3.1, tỷ số phân tán Singapore (1,03) so với Vùng Vịnh (0,49) ≈</w:t>
      </w:r>
      <w:r>
        <w:rPr>
          <w:iCs/>
          <w:i/>
        </w:rPr>
        <w:t xml:space="preserve"> </w:t>
      </w:r>
      <w:r>
        <w:rPr>
          <w:bCs/>
          <w:b/>
          <w:iCs/>
          <w:i/>
        </w:rPr>
        <w:t xml:space="preserve">2,1 lần</w:t>
      </w:r>
      <w:r>
        <w:rPr>
          <w:iCs/>
          <w:i/>
        </w:rPr>
        <w:t xml:space="preserve">. SIDS row v3.1 với Kiribati 2025 (n=150, sd log 1,48).</w:t>
      </w:r>
    </w:p>
    <w:p>
      <w:pPr>
        <w:pStyle w:val="BodyText"/>
      </w:pPr>
      <w:r>
        <w:drawing>
          <wp:inline>
            <wp:extent cx="5753100" cy="3401496"/>
            <wp:effectExtent b="0" l="0" r="0" t="0"/>
            <wp:docPr descr="Hình 4.2. Phân phối năng suất theo 6 phân nhóm con (kernel density, n=101.185)" title="" id="58" name="Picture"/>
            <a:graphic>
              <a:graphicData uri="http://schemas.openxmlformats.org/drawingml/2006/picture">
                <pic:pic>
                  <pic:nvPicPr>
                    <pic:cNvPr descr="figures/fig_4_2_productivity_density.png" id="59" name="Picture"/>
                    <pic:cNvPicPr>
                      <a:picLocks noChangeArrowheads="1" noChangeAspect="1"/>
                    </pic:cNvPicPr>
                  </pic:nvPicPr>
                  <pic:blipFill>
                    <a:blip r:embed="rId57"/>
                    <a:stretch>
                      <a:fillRect/>
                    </a:stretch>
                  </pic:blipFill>
                  <pic:spPr bwMode="auto">
                    <a:xfrm>
                      <a:off x="0" y="0"/>
                      <a:ext cx="5753100" cy="3401496"/>
                    </a:xfrm>
                    <a:prstGeom prst="rect">
                      <a:avLst/>
                    </a:prstGeom>
                    <a:noFill/>
                    <a:ln w="9525">
                      <a:noFill/>
                      <a:headEnd/>
                      <a:tailEnd/>
                    </a:ln>
                  </pic:spPr>
                </pic:pic>
              </a:graphicData>
            </a:graphic>
          </wp:inline>
        </w:drawing>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(v3.1); (4) tỷ số P90/P10 tăng đơn điệu theo phân nhóm con; (5) bằng chứng cho H5 — điều tiết thể chế (institutional moderation).</w:t>
      </w:r>
    </w:p>
    <w:bookmarkEnd w:id="60"/>
    <w:bookmarkStart w:id="61" w:name="X49e6a83a3edd7a7248fb949f5c6416aeb2d23bb"/>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SIDS có CAGR việc làm cao nhất.</w:t>
      </w:r>
    </w:p>
    <w:bookmarkEnd w:id="61"/>
    <w:bookmarkStart w:id="65" w:name="X9da48440be0f68d2ca17e87929ae187af48e20c"/>
    <w:p>
      <w:pPr>
        <w:pStyle w:val="Heading3"/>
      </w:pPr>
      <w:r>
        <w:t xml:space="preserve">4.4 Thực trạng đổi mới sáng tạo và năng lực số</w:t>
      </w:r>
    </w:p>
    <w:bookmarkStart w:id="62" w:name="X9b69c66241ca10117bab41129d52be8e3213a5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(commit e9a73ae) + Nhóm 7 (commit beb47d3).</w:t>
      </w:r>
    </w:p>
    <w:p>
      <w:pPr>
        <w:pStyle w:val="FirstParagraph"/>
      </w:pPr>
      <w:r>
        <w:t xml:space="preserve">WBES tổ chức các chỉ số doanh nghiệp thành</w:t>
      </w:r>
      <w:r>
        <w:t xml:space="preserve"> </w:t>
      </w:r>
      <w:r>
        <w:rPr>
          <w:bCs/>
          <w:b/>
        </w:rPr>
        <w:t xml:space="preserve">5 lĩnh vực chính thức (5 indicator domains)</w:t>
      </w:r>
      <w:r>
        <w:t xml:space="preserve"> </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 định vị phạm vi đo lường của §4.4.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link §4.5.5 rào cản #1)</w:t>
            </w:r>
          </w:p>
        </w:tc>
        <w:tc>
          <w:tcPr/>
          <w:p>
            <w:pPr>
              <w:pStyle w:val="Compact"/>
              <w:jc w:val="left"/>
            </w:pPr>
            <w:r>
              <w:t xml:space="preserve">CĐ2 deep-dive,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(sẽ phân biệt rõ trong §4.7.5 v3.8c, NEW)</w:t>
            </w:r>
          </w:p>
        </w:tc>
        <w:tc>
          <w:tcPr/>
          <w:p>
            <w:pPr>
              <w:pStyle w:val="Compact"/>
              <w:jc w:val="left"/>
            </w:pPr>
            <w:r>
              <w:t xml:space="preserve">CĐ2 deep-dive,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62"/>
    <w:bookmarkStart w:id="63" w:name="X0e36d2ac3de1653c330320ad0d0ed4280ae22ec"/>
    <w:p>
      <w:pPr>
        <w:pStyle w:val="Heading4"/>
      </w:pPr>
      <w:r>
        <w:t xml:space="preserve">4.4.5 Tái định hình "Năng lực số" —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 "Năng lực số (DAI)".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 "số hóa làm giảm năng suất ở Singapore/Hàn Quốc/Hong Kong", nhưng đây là</w:t>
      </w:r>
      <w:r>
        <w:t xml:space="preserve"> </w:t>
      </w:r>
      <w:r>
        <w:rPr>
          <w:bCs/>
          <w:b/>
        </w:rPr>
        <w:t xml:space="preserve">ảo ảnh thống kê</w:t>
      </w:r>
      <w:r>
        <w:t xml:space="preserve"> </w:t>
      </w:r>
      <w:r>
        <w:t xml:space="preserve">do đo lường sơ sài, không phải thực tế kinh tế. Như so sánh:</w:t>
      </w:r>
      <w:r>
        <w:t xml:space="preserve"> </w:t>
      </w:r>
      <w:r>
        <w:rPr>
          <w:iCs/>
          <w:i/>
        </w:rPr>
        <w:t xml:space="preserve">"Giống như cố đánh giá hiệu suất của mạng lưới logistic AI hiện đại nhưng dùng bản đồ trạm điện tín thế kỷ 19."</w:t>
      </w:r>
    </w:p>
    <w:p>
      <w:pPr>
        <w:pStyle w:val="BodyText"/>
      </w:pPr>
      <w:r>
        <w:rPr>
          <w:bCs/>
          <w:b/>
        </w:rPr>
        <w:t xml:space="preserve">Đề xuất rebrand v3.5</w:t>
      </w:r>
      <w:r>
        <w:t xml:space="preserve">: Đổi tên biến trong Spec 1 từ "DAI / Năng lực số / Chuyển đổi số" sang</w:t>
      </w:r>
      <w:r>
        <w:t xml:space="preserve"> </w:t>
      </w:r>
      <w:r>
        <w:rPr>
          <w:bCs/>
          <w:b/>
        </w:rPr>
        <w:t xml:space="preserve">"Sự hiện diện số cơ bản (Tier-1 Digital Presence)"</w:t>
      </w:r>
      <w:r>
        <w:t xml:space="preserve">, phạm vi hẹp hơn, khiêm tốn hơn, thừa nhận rằng Spec 1 chỉ đo</w:t>
      </w:r>
      <w:r>
        <w:t xml:space="preserve"> </w:t>
      </w:r>
      <w:r>
        <w:rPr>
          <w:iCs/>
          <w:i/>
        </w:rPr>
        <w:t xml:space="preserve">"bức số hóa tài liệu"</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"Sự hiện diện số cơ bản đã bão hòa ở các nước tiên tiến từ lâu, vì vậy biến này không còn discriminate năng suất giữa các firms ở Advanced."</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 "Tier-1 Digital Presence"</w:t>
      </w:r>
      <w:r>
        <w:t xml:space="preserve"> </w:t>
      </w:r>
      <w:r>
        <w:t xml:space="preserve">(chỉ documents online) sang</w:t>
      </w:r>
      <w:r>
        <w:t xml:space="preserve"> </w:t>
      </w:r>
      <w:r>
        <w:rPr>
          <w:bCs/>
          <w:b/>
        </w:rPr>
        <w:t xml:space="preserve">trạng thái động "Tier-2 Digital Transformation"</w:t>
      </w:r>
      <w:r>
        <w:t xml:space="preserve"> </w:t>
      </w:r>
      <w:r>
        <w:t xml:space="preserve">(business models reshaped, kế thừa Banalieva &amp; Dhanaraj, 2019 layered framework).</w:t>
      </w:r>
    </w:p>
    <w:bookmarkEnd w:id="63"/>
    <w:bookmarkStart w:id="64" w:name="X0d3272da22b1b9a4be851dd2073eabdfe75bdb3"/>
    <w:p>
      <w:pPr>
        <w:pStyle w:val="Heading4"/>
      </w:pPr>
      <w:r>
        <w:t xml:space="preserve">4.4.5.1 Đối chiếu DAI xuyên quốc gia. Singapore (Tier 1+2) vs Việt Nam (Tier 1 only)</w:t>
      </w:r>
    </w:p>
    <w:p>
      <w:pPr>
        <w:pStyle w:val="BlockText"/>
      </w:pPr>
      <w:r>
        <w:rPr>
          <w:bCs/>
          <w:b/>
        </w:rPr>
        <w:t xml:space="preserve">Bằng chứng nền tảng</w:t>
      </w:r>
      <w:r>
        <w:t xml:space="preserve">: §2.7 file 14 v3.13 (Khung 4-Tier Verhoef + CDCM); P3 Singapore manuscript (Mar et al., 2026,</w:t>
      </w:r>
      <w:r>
        <w:t xml:space="preserve"> </w:t>
      </w:r>
      <w:r>
        <w:rPr>
          <w:iCs/>
          <w:i/>
        </w:rPr>
        <w:t xml:space="preserve">MIR</w:t>
      </w:r>
      <w:r>
        <w:t xml:space="preserve">); P4 Việt Nam (Đỗ &amp; Phan, 2026,</w:t>
      </w:r>
      <w:r>
        <w:t xml:space="preserve"> </w:t>
      </w:r>
      <w:r>
        <w:rPr>
          <w:iCs/>
          <w:i/>
        </w:rPr>
        <w:t xml:space="preserve">APJM</w:t>
      </w:r>
      <w:r>
        <w:t xml:space="preserve">).</w:t>
      </w:r>
    </w:p>
    <w:p>
      <w:pPr>
        <w:pStyle w:val="FirstParagraph"/>
      </w:pPr>
      <w:r>
        <w:t xml:space="preserve">Phân tích đối chiếu nội bộ chỉ ra</w:t>
      </w:r>
      <w:r>
        <w:t xml:space="preserve"> </w:t>
      </w:r>
      <w:r>
        <w:rPr>
          <w:bCs/>
          <w:b/>
        </w:rPr>
        <w:t xml:space="preserve">mâu thuẫn tử huyệt</w:t>
      </w:r>
      <w:r>
        <w:t xml:space="preserve"> </w:t>
      </w:r>
      <w:r>
        <w:t xml:space="preserve">giữa hai papers: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conditional scaling resource ở xuất khẩu cao</w:t>
            </w:r>
          </w:p>
        </w:tc>
        <w:tc>
          <w:tcPr/>
          <w:p>
            <w:pPr>
              <w:pStyle w:val="Compact"/>
              <w:jc w:val="left"/>
            </w:pPr>
            <w:r>
              <w:rPr>
                <w:bCs/>
                <w:b/>
              </w:rPr>
              <w:t xml:space="preserve">β=-0,912, p=,043 (âm) ở 2023</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v3.5)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P3.</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 đóng góp lý thuyết mạnh cho CDCM (Đỗ &amp; Phan, 2026 mở rộng từ APJM sang luận án). Nếu không confirm → cần Tier 3 (ERP/CRM) hoặc Tier 4 (AI) để nắm cơ chế thực sự, hàm ý cho data collection tương lai (limitations §7.3.4 file 16).</w:t>
      </w:r>
    </w:p>
    <w:bookmarkEnd w:id="64"/>
    <w:bookmarkEnd w:id="65"/>
    <w:bookmarkStart w:id="71" w:name="X6e67086062c2d278d9098d05d76f4a8c0ad80a9"/>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BodyText"/>
      </w:pPr>
      <w:r>
        <w:drawing>
          <wp:inline>
            <wp:extent cx="5753100" cy="3545232"/>
            <wp:effectExtent b="0" l="0" r="0" t="0"/>
            <wp:docPr descr="Hình 4.6. Phân phối quy mô doanh nghiệp theo phân nhóm con (n=101.185)" title="" id="67" name="Picture"/>
            <a:graphic>
              <a:graphicData uri="http://schemas.openxmlformats.org/drawingml/2006/picture">
                <pic:pic>
                  <pic:nvPicPr>
                    <pic:cNvPr descr="figures/fig_4_6_firm_size.png" id="68" name="Picture"/>
                    <pic:cNvPicPr>
                      <a:picLocks noChangeArrowheads="1" noChangeAspect="1"/>
                    </pic:cNvPicPr>
                  </pic:nvPicPr>
                  <pic:blipFill>
                    <a:blip r:embed="rId66"/>
                    <a:stretch>
                      <a:fillRect/>
                    </a:stretch>
                  </pic:blipFill>
                  <pic:spPr bwMode="auto">
                    <a:xfrm>
                      <a:off x="0" y="0"/>
                      <a:ext cx="5753100" cy="3545232"/>
                    </a:xfrm>
                    <a:prstGeom prst="rect">
                      <a:avLst/>
                    </a:prstGeom>
                    <a:noFill/>
                    <a:ln w="9525">
                      <a:noFill/>
                      <a:headEnd/>
                      <a:tailEnd/>
                    </a:ln>
                  </pic:spPr>
                </pic:pic>
              </a:graphicData>
            </a:graphic>
          </wp:inline>
        </w:drawing>
      </w:r>
    </w:p>
    <w:p>
      <w:pPr>
        <w:pStyle w:val="BodyText"/>
      </w:pPr>
      <w:r>
        <w:rPr>
          <w:iCs/>
          <w:i/>
        </w:rPr>
        <w:t xml:space="preserve">Hình 4.6. Stacked bar chart cho thấy SIDS Pacific có tỷ lệ SME cao nhất (88,5%), Frontier kế tiếp (85,0%), Advanced thấp nhất (79,1%). Pattern phù hợp với cấu trúc kinh tế khu vực.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69" w:name="Xfb93321b5eee4b02e97c8e9aa41069c8c2603f0"/>
    <w:p>
      <w:pPr>
        <w:pStyle w:val="Heading4"/>
      </w:pPr>
      <w:r>
        <w:t xml:space="preserve">4.5.5 Bốn rào cản hàng đầu của khu vực tư nhân Á-Thái,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 (commit beb47d3).</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absorptive capacity; Kafouros et al. (2023),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pStyle w:val="BodyText"/>
      </w:pPr>
      <w:r>
        <w:t xml:space="preserve">(a)</w:t>
      </w:r>
      <w:r>
        <w:t xml:space="preserve"> </w:t>
      </w:r>
      <w:r>
        <w:rPr>
          <w:bCs/>
          <w:b/>
        </w:rPr>
        <w:t xml:space="preserve">Rào cản 1 —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pStyle w:val="BodyText"/>
      </w:pPr>
      <w:r>
        <w:t xml:space="preserve">(b)</w:t>
      </w:r>
      <w:r>
        <w:t xml:space="preserve"> </w:t>
      </w: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pStyle w:val="BodyText"/>
      </w:pPr>
      <w:r>
        <w:t xml:space="preserve">(c)</w:t>
      </w:r>
      <w:r>
        <w:t xml:space="preserve"> </w:t>
      </w:r>
      <w:r>
        <w:rPr>
          <w:bCs/>
          <w:b/>
        </w:rPr>
        <w:t xml:space="preserve">Rào cản 3 —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§4.4</w:t>
      </w:r>
      <w:r>
        <w:t xml:space="preserve"> </w:t>
      </w:r>
      <w:r>
        <w:rPr>
          <w:iCs/>
          <w:i/>
        </w:rPr>
        <w:t xml:space="preserve">Δ R&amp;D Emerging giảm -42,1 đpt</w:t>
      </w:r>
      <w:r>
        <w:t xml:space="preserve">.</w:t>
      </w:r>
    </w:p>
    <w:p>
      <w:pPr>
        <w:pStyle w:val="BodyText"/>
      </w:pPr>
      <w:r>
        <w:t xml:space="preserve">(d)</w:t>
      </w:r>
      <w:r>
        <w:t xml:space="preserve"> </w:t>
      </w: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BodyText"/>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không chỉ 2 lĩnh vực (đổi mới + năng lực số) như §4.4 hiện đang phân tích.</w:t>
      </w:r>
    </w:p>
    <w:bookmarkEnd w:id="69"/>
    <w:bookmarkStart w:id="70" w:name="X0050aed6d865faa72c97f4cdb6d127beb700502"/>
    <w:p>
      <w:pPr>
        <w:pStyle w:val="Heading4"/>
      </w:pPr>
      <w:r>
        <w:t xml:space="preserve">4.5.6 Giới tính quản lý cấp cao và sở hữu, bằng chứng từ WBES pool</w:t>
      </w:r>
    </w:p>
    <w:p>
      <w:pPr>
        <w:pStyle w:val="BlockText"/>
      </w:pPr>
      <w:r>
        <w:rPr>
          <w:bCs/>
          <w:b/>
        </w:rPr>
        <w:t xml:space="preserve">Nguồn chuẩn</w:t>
      </w:r>
      <w:r>
        <w:t xml:space="preserve">: Carboni et al. (2024/2025 —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xem §6.1)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matrilineal land tenure culture</w:t>
            </w:r>
          </w:p>
        </w:tc>
      </w:tr>
    </w:tbl>
    <w:p>
      <w:pPr>
        <w:pStyle w:val="BodyText"/>
      </w:pPr>
      <w:r>
        <w:rPr>
          <w:iCs/>
          <w:i/>
        </w:rPr>
        <w:t xml:space="preserve">Lưu ý: Số liệu tỷ lệ phần trăm là ước tính theo phân nhóm con ICRV dựa trên tổng hợp WBES pool,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(file 16 §6.1) cung cấp số liệu chính xác theo vùng WB.</w:t>
      </w:r>
    </w:p>
    <w:p>
      <w:pPr>
        <w:pStyle w:val="BodyText"/>
      </w:pPr>
      <w:r>
        <w:rPr>
          <w:bCs/>
          <w:b/>
        </w:rPr>
        <w:t xml:space="preserve">Ba phát hiện nổi bật</w:t>
      </w:r>
      <w:r>
        <w:t xml:space="preserve">:</w:t>
      </w:r>
    </w:p>
    <w:p>
      <w:pPr>
        <w:pStyle w:val="BodyText"/>
      </w:pPr>
      <w:r>
        <w:t xml:space="preserve">(a)</w:t>
      </w:r>
      <w:r>
        <w:t xml:space="preserve"> </w:t>
      </w:r>
      <w:r>
        <w:rPr>
          <w:bCs/>
          <w:b/>
        </w:rPr>
        <w:t xml:space="preserve">EAP paradox, dẫn đầu về representation nhưng không về performance gap</w:t>
      </w:r>
      <w:r>
        <w:t xml:space="preserve">: Dữ liệu WBES EAP 33,4% nữ TMT cao nhất toàn cầu,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pStyle w:val="BodyText"/>
      </w:pPr>
      <w:r>
        <w:t xml:space="preserve">(b)</w:t>
      </w:r>
      <w:r>
        <w:t xml:space="preserve"> </w:t>
      </w: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pStyle w:val="BodyText"/>
      </w:pPr>
      <w:r>
        <w:t xml:space="preserve">(c)</w:t>
      </w:r>
      <w:r>
        <w:t xml:space="preserve"> </w:t>
      </w: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BodyText"/>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et al. (2025,</w:t>
      </w:r>
      <w:r>
        <w:t xml:space="preserve"> </w:t>
      </w:r>
      <w:r>
        <w:rPr>
          <w:iCs/>
          <w:i/>
        </w:rPr>
        <w:t xml:space="preserve">IJHRM</w:t>
      </w:r>
      <w:r>
        <w:t xml:space="preserve">). Carboni et al.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70"/>
    <w:bookmarkEnd w:id="71"/>
    <w:bookmarkStart w:id="78" w:name="X6391a3bb9aef206e09a1ede1e8a14537396c493"/>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BodyText"/>
      </w:pPr>
      <w:r>
        <w:drawing>
          <wp:inline>
            <wp:extent cx="5753100" cy="2590690"/>
            <wp:effectExtent b="0" l="0" r="0" t="0"/>
            <wp:docPr descr="Hình 4.4. Slope chart 2009–2012 vs 2018–2025 (Δ điểm phần trăm 5 chỉ số)" title="" id="73" name="Picture"/>
            <a:graphic>
              <a:graphicData uri="http://schemas.openxmlformats.org/drawingml/2006/picture">
                <pic:pic>
                  <pic:nvPicPr>
                    <pic:cNvPr descr="figures/fig_4_4_growth_pathway.png" id="74" name="Picture"/>
                    <pic:cNvPicPr>
                      <a:picLocks noChangeArrowheads="1" noChangeAspect="1"/>
                    </pic:cNvPicPr>
                  </pic:nvPicPr>
                  <pic:blipFill>
                    <a:blip r:embed="rId72"/>
                    <a:stretch>
                      <a:fillRect/>
                    </a:stretch>
                  </pic:blipFill>
                  <pic:spPr bwMode="auto">
                    <a:xfrm>
                      <a:off x="0" y="0"/>
                      <a:ext cx="5753100" cy="2590690"/>
                    </a:xfrm>
                    <a:prstGeom prst="rect">
                      <a:avLst/>
                    </a:prstGeom>
                    <a:noFill/>
                    <a:ln w="9525">
                      <a:noFill/>
                      <a:headEnd/>
                      <a:tailEnd/>
                    </a:ln>
                  </pic:spPr>
                </pic:pic>
              </a:graphicData>
            </a:graphic>
          </wp:inline>
        </w:drawing>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BodyText"/>
      </w:pPr>
      <w:r>
        <w:drawing>
          <wp:inline>
            <wp:extent cx="5753100" cy="2222977"/>
            <wp:effectExtent b="0" l="0" r="0" t="0"/>
            <wp:docPr descr="Hình 4.7. Spider chart 5 chiều × 2 mốc thời gian (Advanced, Emerging, SIDS)" title="" id="76" name="Picture"/>
            <a:graphic>
              <a:graphicData uri="http://schemas.openxmlformats.org/drawingml/2006/picture">
                <pic:pic>
                  <pic:nvPicPr>
                    <pic:cNvPr descr="figures/fig_4_7_spider_chart.png" id="77" name="Picture"/>
                    <pic:cNvPicPr>
                      <a:picLocks noChangeArrowheads="1" noChangeAspect="1"/>
                    </pic:cNvPicPr>
                  </pic:nvPicPr>
                  <pic:blipFill>
                    <a:blip r:embed="rId75"/>
                    <a:stretch>
                      <a:fillRect/>
                    </a:stretch>
                  </pic:blipFill>
                  <pic:spPr bwMode="auto">
                    <a:xfrm>
                      <a:off x="0" y="0"/>
                      <a:ext cx="5753100" cy="2222977"/>
                    </a:xfrm>
                    <a:prstGeom prst="rect">
                      <a:avLst/>
                    </a:prstGeom>
                    <a:noFill/>
                    <a:ln w="9525">
                      <a:noFill/>
                      <a:headEnd/>
                      <a:tailEnd/>
                    </a:ln>
                  </pic:spPr>
                </pic:pic>
              </a:graphicData>
            </a:graphic>
          </wp:inline>
        </w:drawing>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78"/>
    <w:bookmarkStart w:id="80" w:name="X6d2fb5d7f9bb88d0779fde99b1726f453b6ae57"/>
    <w:p>
      <w:pPr>
        <w:pStyle w:val="Heading3"/>
      </w:pPr>
      <w:r>
        <w:t xml:space="preserve">4.7 Tổng hợp Chương 4 (mở rộng D4,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w:t>
      </w:r>
      <w:r>
        <w:t xml:space="preserve">— đã được tách trực quan trong</w:t>
      </w:r>
      <w:r>
        <w:t xml:space="preserve"> </w:t>
      </w:r>
      <w:r>
        <w:rPr>
          <w:bCs/>
          <w:b/>
        </w:rPr>
        <w:t xml:space="preserve">Bảng 4.1 (v3.1)</w:t>
      </w:r>
      <w:r>
        <w:t xml:space="preserve">.</w:t>
      </w:r>
    </w:p>
    <w:p>
      <w:pPr>
        <w:pStyle w:val="BodyText"/>
      </w:pPr>
      <w:r>
        <w:rPr>
          <w:bCs/>
          <w:b/>
        </w:rPr>
        <w:t xml:space="preserve">(iii) Dị biệt nội bộ phân nhóm Emerging, 3 phân nhóm con</w:t>
      </w:r>
      <w:r>
        <w:t xml:space="preserve"> </w:t>
      </w:r>
      <w:r>
        <w:rPr>
          <w:iCs/>
          <w:i/>
        </w:rPr>
        <w:t xml:space="preserve">(NEW D1, §4.9)</w:t>
      </w:r>
      <w:r>
        <w:t xml:space="preserve">. FDI dẫn dắt SEA (VNM+IDN+PHL, FSTS 13,2%) ≠ dân số lớn (IND+LKA+JOR, FSTS 7,2%) ≠ tài nguyên (MNG, FSTS 5,0%). TCI ngược dấu —</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 "high digital leapfrog" (Fiji, Maldives) và "isolated rural" (Kiribati).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t xml:space="preserve">**: Cần phân biệt</w:t>
      </w:r>
      <w:r>
        <w:t xml:space="preserve"> </w:t>
      </w:r>
      <w:r>
        <w:rPr>
          <w:bCs/>
          <w:b/>
        </w:rPr>
        <w:t xml:space="preserve">Tier-1 Digital Presence</w:t>
      </w:r>
      <w:r>
        <w:t xml:space="preserve"> </w:t>
      </w:r>
      <w:r>
        <w:t xml:space="preserve">(website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 "số hóa làm giảm năng suất" mà là</w:t>
      </w:r>
      <w:r>
        <w:t xml:space="preserve"> </w:t>
      </w:r>
      <w:r>
        <w:rPr>
          <w:bCs/>
          <w:b/>
        </w:rPr>
        <w:t xml:space="preserve">artifact của Tier-1 saturation</w:t>
      </w:r>
      <w:r>
        <w:t xml:space="preserve"> </w:t>
      </w:r>
      <w:r>
        <w:t xml:space="preserve">ở các nước tiên tiến, xem §4.4.5 ICT exclusion test.</w:t>
      </w:r>
    </w:p>
    <w:p>
      <w:pPr>
        <w:pStyle w:val="BodyText"/>
      </w:pPr>
      <w:r>
        <w:rPr>
          <w:bCs/>
          <w:b/>
        </w:rPr>
        <w:t xml:space="preserve">(vii) Pattern phi tuyến FDI ≥10%</w:t>
      </w:r>
      <w:r>
        <w:t xml:space="preserve">, dạng chữ U với cực tiểu Emerging (4,7%): Advanced 11,1% → Upper-middle 8,4% → Emerging 4,7% → Frontier 5,9% →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16.979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§4.8)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pStyle w:val="BodyText"/>
      </w:pPr>
      <w:r>
        <w:t xml:space="preserve">(a)</w:t>
      </w:r>
      <w:r>
        <w:t xml:space="preserve"> </w:t>
      </w:r>
      <w:r>
        <w:rPr>
          <w:bCs/>
          <w:b/>
        </w:rPr>
        <w:t xml:space="preserve">Hệ giả thuyết H1–H6</w:t>
      </w:r>
      <w:r>
        <w:t xml:space="preserve">: H1 phi tuyến; H2 TCI điều tiết; H3 DAI có điều kiện; H4 phân nhóm con thể chế (5+8 phân nhóm con); H5 cụm tài nguyên; H6 chi phí buộc phải quốc tế hóa (</w:t>
      </w:r>
      <w:r>
        <w:rPr>
          <w:bCs/>
          <w:b/>
        </w:rPr>
        <w:t xml:space="preserve">7 SIDS gồm Kiribati extreme</w:t>
      </w:r>
      <w:r>
        <w:t xml:space="preserve">).</w:t>
      </w:r>
    </w:p>
    <w:p>
      <w:pPr>
        <w:pStyle w:val="BodyText"/>
      </w:pPr>
      <w:r>
        <w:t xml:space="preserve">(b)</w:t>
      </w:r>
      <w:r>
        <w:t xml:space="preserve"> </w:t>
      </w:r>
      <w:r>
        <w:rPr>
          <w:bCs/>
          <w:b/>
        </w:rPr>
        <w:t xml:space="preserve">8 phân nhóm con với hiệu ứng cố định</w:t>
      </w:r>
      <w:r>
        <w:t xml:space="preserve"> </w:t>
      </w:r>
      <w:r>
        <w:t xml:space="preserve">cho CĐ2.</w:t>
      </w:r>
    </w:p>
    <w:p>
      <w:pPr>
        <w:pStyle w:val="BodyText"/>
      </w:pPr>
      <w:r>
        <w:t xml:space="preserve">(c)</w:t>
      </w:r>
      <w:r>
        <w:t xml:space="preserve"> </w:t>
      </w:r>
      <w:r>
        <w:rPr>
          <w:bCs/>
          <w:b/>
        </w:rPr>
        <w:t xml:space="preserve">Hai đặc tả mô hình kiểm định vững</w:t>
      </w:r>
      <w:r>
        <w:t xml:space="preserve">: Đặc tả 1, phạm vi đầy đủ (n=101.185); Đặc tả 2, 2018-2025 (n≈50.000, DAI/TCI 5 thành phần).</w:t>
      </w:r>
    </w:p>
    <w:p>
      <w:pPr>
        <w:pStyle w:val="BodyText"/>
      </w:pPr>
      <w:r>
        <w:t xml:space="preserve">(d)</w:t>
      </w:r>
      <w:r>
        <w:t xml:space="preserve"> </w:t>
      </w:r>
      <w:r>
        <w:rPr>
          <w:bCs/>
          <w:b/>
        </w:rPr>
        <w:t xml:space="preserve">Industry FE + 5 kiểm định vững mẫu con</w:t>
      </w:r>
      <w:r>
        <w:t xml:space="preserve"> </w:t>
      </w:r>
      <w:r>
        <w:rPr>
          <w:iCs/>
          <w:i/>
        </w:rPr>
        <w:t xml:space="preserve">(NEW D3)</w:t>
      </w:r>
      <w:r>
        <w:t xml:space="preserve">.</w:t>
      </w:r>
    </w:p>
    <w:p>
      <w:pPr>
        <w:pStyle w:val="BodyText"/>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Start w:id="79" w:name="Xf63aadf8066ea37d60f1882df941c784fa6d787"/>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(commit e9a73ae) + Nhóm 7 #64-66 (commit beb47d3).</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 "tham nhũng" trong văn liệu chính sách Việt Nam.</w:t>
      </w:r>
    </w:p>
    <w:p>
      <w:pPr>
        <w:pStyle w:val="BodyText"/>
      </w:pPr>
      <w:r>
        <w:rPr>
          <w:bCs/>
          <w:b/>
        </w:rPr>
        <w:t xml:space="preserve">Bảng 4.7.5</w:t>
      </w:r>
      <w:r>
        <w:t xml:space="preserve">.</w:t>
      </w:r>
      <w:r>
        <w:t xml:space="preserve"> </w:t>
      </w:r>
      <w:r>
        <w:rPr>
          <w:iCs/>
          <w:i/>
        </w:rPr>
        <w:t xml:space="preserve">Phân biệt 3 chỉ số tham nhũng WBES — định nghĩa chính thức + cách đo + ngưỡng cảnh báo.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 "phải hối lộ thanh tra thuế" 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p>
    <w:p>
      <w:pPr>
        <w:numPr>
          <w:ilvl w:val="0"/>
          <w:numId w:val="1008"/>
        </w:numPr>
        <w:pStyle w:val="Compact"/>
      </w:pPr>
      <w:r>
        <w:rPr>
          <w:bCs/>
          <w:b/>
        </w:rPr>
        <w:t xml:space="preserve">(1) CĐ1 v3.x</w:t>
      </w:r>
      <w:r>
        <w:t xml:space="preserve"> </w:t>
      </w:r>
      <w:r>
        <w:t xml:space="preserve">sẽ dùng "Hối lộ" (Bribery) và "Tham ô" (Graft) thay vì "tham nhũng" tổng quát khi cite số liệu cụ thể từ WBES. Khi nói chung về vấn đề thể chế hoặc chính sách quốc gia, vẫn có thể dùng "tham nhũng" như một tổng thể.</w:t>
      </w:r>
    </w:p>
    <w:p>
      <w:pPr>
        <w:numPr>
          <w:ilvl w:val="0"/>
          <w:numId w:val="1008"/>
        </w:numPr>
        <w:pStyle w:val="Compact"/>
      </w:pP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 "extensive corruption" (Bribery Incidence cao, Depth thấp, tham nhũng phổ biến nhưng mỗi giao dịch ít) và "intensive corruption" (Incidence thấp, Depth cao, chỉ một số ít DN nhưng giao dịch nào cũng tham nhũng).</w:t>
      </w:r>
    </w:p>
    <w:p>
      <w:pPr>
        <w:numPr>
          <w:ilvl w:val="0"/>
          <w:numId w:val="1008"/>
        </w:numPr>
        <w:pStyle w:val="Compact"/>
      </w:pP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p>
    <w:p>
      <w:pPr>
        <w:numPr>
          <w:ilvl w:val="0"/>
          <w:numId w:val="1008"/>
        </w:numPr>
        <w:pStyle w:val="Compact"/>
      </w:pPr>
      <w:r>
        <w:rPr>
          <w:bCs/>
          <w:b/>
        </w:rPr>
        <w:t xml:space="preserve">(4) Liên kết với khung phân tích cấp ngành §4.8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79"/>
    <w:bookmarkEnd w:id="80"/>
    <w:bookmarkStart w:id="81" w:name="X8bbd4fdc8848c806ece1df98eba6028957e9c52"/>
    <w:p>
      <w:pPr>
        <w:pStyle w:val="Heading3"/>
      </w:pPr>
      <w:r>
        <w:t xml:space="preserve">4.8 Khung phân tích cấp ngành (industry-level), kế hoạch CĐ2</w:t>
      </w:r>
    </w:p>
    <w:p>
      <w:pPr>
        <w:pStyle w:val="BlockText"/>
      </w:pPr>
      <w:r>
        <w:rPr>
          <w:bCs/>
          <w:b/>
        </w:rPr>
        <w:t xml:space="preserve">Mới ở v2.9 (D3)</w:t>
      </w:r>
      <w:r>
        <w:t xml:space="preserve">: 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w:t>
      </w:r>
    </w:p>
    <w:p>
      <w:pPr>
        <w:pStyle w:val="BlockText"/>
      </w:pPr>
      <w:r>
        <w:rPr>
          <w:bCs/>
          <w:b/>
        </w:rPr>
        <w:t xml:space="preserve">Mở rộng v3.4 (07/05/2026)</w:t>
      </w:r>
      <w:r>
        <w:t xml:space="preserve">: Bảng 4.8.1 thêm cột "Dynamism profile (Kafouros 2023)"; thêm đoạn lý giải sau bảng về industry × institutional quality interaction; mở rộng 5 → 6 hàm ý phương pháp luận với hàm ý (f) test interaction term.</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deepening pattern)</w:t>
            </w:r>
          </w:p>
        </w:tc>
      </w:tr>
      <w:tr>
        <w:tc>
          <w:tcPr/>
          <w:p>
            <w:pPr>
              <w:pStyle w:val="Compact"/>
              <w:jc w:val="left"/>
            </w:pPr>
            <w:r>
              <w:t xml:space="preserve">Manufacturing,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 —</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§4.4 và Phase 2 HĐ1)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pStyle w:val="BodyText"/>
      </w:pPr>
      <w:r>
        <w:t xml:space="preserve">(a) Industry FE 9 ngành theo Bảng 4.8.1.</w:t>
      </w:r>
      <w:r>
        <w:t xml:space="preserve"> </w:t>
      </w:r>
      <w:r>
        <w:t xml:space="preserve">(b) Manufacturing-only subsample, tách cho high-tech vs low-tech theo Kafouros (2023) classification.</w:t>
      </w:r>
      <w:r>
        <w:t xml:space="preserve"> </w:t>
      </w:r>
      <w:r>
        <w:t xml:space="preserve">(c) Tourism separation cho SIDS Pacific (boundary case extension §1.3).</w:t>
      </w:r>
      <w:r>
        <w:t xml:space="preserve"> </w:t>
      </w:r>
      <w:r>
        <w:t xml:space="preserve">(d) Construction subsample test Vùng Vịnh resource-driven Advanced.</w:t>
      </w:r>
      <w:r>
        <w:t xml:space="preserve"> </w:t>
      </w:r>
      <w:r>
        <w:t xml:space="preserve">(e) ICT exclusion test cho DAI — đặc biệt liên quan Phase 2 HĐ1 Tier-1 Digital Presence rebrand.</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81"/>
    <w:bookmarkStart w:id="82" w:name="Xbb972517922493e188bde8a050e30b8e3e1ee38"/>
    <w:p>
      <w:pPr>
        <w:pStyle w:val="Heading3"/>
      </w:pPr>
      <w:r>
        <w:t xml:space="preserve">4.9 Phân nhóm con Emerging, phát hiện dị biệt nội bộ</w:t>
      </w:r>
    </w:p>
    <w:p>
      <w:pPr>
        <w:pStyle w:val="BlockText"/>
      </w:pPr>
      <w:r>
        <w:rPr>
          <w:bCs/>
          <w:b/>
        </w:rPr>
        <w:t xml:space="preserve">Mới ở v2.7 (D1)</w:t>
      </w:r>
      <w:r>
        <w:t xml:space="preserve">: 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82"/>
    <w:bookmarkStart w:id="83" w:name="Xff4a512a3a7369f731f273600b6b6df89aaf71a"/>
    <w:p>
      <w:pPr>
        <w:pStyle w:val="Heading3"/>
      </w:pPr>
      <w:r>
        <w:t xml:space="preserve">4.10 Phân tích sâu đợt khảo sát 2025</w:t>
      </w:r>
    </w:p>
    <w:p>
      <w:pPr>
        <w:pStyle w:val="BlockText"/>
      </w:pPr>
      <w:r>
        <w:rPr>
          <w:bCs/>
          <w:b/>
        </w:rPr>
        <w:t xml:space="preserve">Mới ở v2.8 (D2)</w:t>
      </w:r>
      <w:r>
        <w:t xml:space="preserve">: Đợt 2025 chiếm 16.979 doanh nghiệp (16,8% pool, v3.1 với Kiribati 2025).</w:t>
      </w:r>
    </w:p>
    <w:p>
      <w:pPr>
        <w:pStyle w:val="FirstParagraph"/>
      </w:pPr>
      <w:r>
        <w:rPr>
          <w:bCs/>
          <w:b/>
        </w:rPr>
        <w:t xml:space="preserve">Bảng 4.10</w:t>
      </w:r>
      <w:r>
        <w:t xml:space="preserve">.</w:t>
      </w:r>
      <w:r>
        <w:t xml:space="preserve"> </w:t>
      </w:r>
      <w:r>
        <w:rPr>
          <w:iCs/>
          <w:i/>
        </w:rPr>
        <w:t xml:space="preserve">14 quốc gia trong đợt 2025 (n=16.979, v3.1 với Kiribati 2025).</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schema BREADY chưa thống nhất. ²Kiribati 2025: Lower Middle Income; viện trợ AUS/NZ ~30% GDP.</w:t>
      </w:r>
    </w:p>
    <w:p>
      <w:pPr>
        <w:pStyle w:val="BodyText"/>
      </w:pPr>
      <w:r>
        <w:rPr>
          <w:bCs/>
          <w:b/>
        </w:rPr>
        <w:t xml:space="preserve">Bảy phát hiện</w:t>
      </w:r>
      <w:r>
        <w:t xml:space="preserve">: (1) IND FSTS sụt 5 đpt (schema effect); (2) THA "digital up, exports down";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 "high-digital" (FJI, MDV) vs "isolated rural" (KIR).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 v3.7)</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"high-digital" vs "isolated", mở rộng 8 → 9 phân nhóm con; (g) Tách 2025 thành</w:t>
      </w:r>
      <w:r>
        <w:t xml:space="preserve"> </w:t>
      </w:r>
      <w:r>
        <w:rPr>
          <w:bCs/>
          <w:b/>
        </w:rPr>
        <w:t xml:space="preserve">"Panel hậu đại dịch độc lập"</w:t>
      </w:r>
      <w:r>
        <w:t xml:space="preserve"> </w:t>
      </w:r>
      <w:r>
        <w:rPr>
          <w:iCs/>
          <w:i/>
        </w:rPr>
        <w:t xml:space="preserve">(chi tiết §4.11 v3.7)</w:t>
      </w:r>
      <w:r>
        <w:t xml:space="preserve">.</w:t>
      </w:r>
    </w:p>
    <w:bookmarkEnd w:id="83"/>
    <w:bookmarkStart w:id="88" w:name="Xbdafc82fb957930003c2f00ecd06259beea3927"/>
    <w:p>
      <w:pPr>
        <w:pStyle w:val="Heading3"/>
      </w:pPr>
      <w:r>
        <w:t xml:space="preserve">4.11 Cô lập đứt gãy schema BREADY 2025, 3 đề xuất phương pháp luận</w:t>
      </w:r>
    </w:p>
    <w:p>
      <w:pPr>
        <w:pStyle w:val="FirstParagraph"/>
      </w:pPr>
      <w:r>
        <w:t xml:space="preserve">Đợt 2025 (n=16.979 firms,</w:t>
      </w:r>
      <w:r>
        <w:t xml:space="preserve"> </w:t>
      </w:r>
      <w:r>
        <w:rPr>
          <w:bCs/>
          <w:b/>
        </w:rPr>
        <w:t xml:space="preserve">16,8% pool</w:t>
      </w:r>
      <w:r>
        <w:t xml:space="preserve">) sử dụng schema mới BREADY khác bản hỏi cũ,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Theo :</w:t>
      </w:r>
      <w:r>
        <w:t xml:space="preserve"> </w:t>
      </w:r>
      <w:r>
        <w:rPr>
          <w:iCs/>
          <w:i/>
        </w:rPr>
        <w:t xml:space="preserve">"Đứt gãy schema BREADY 2025 đe dọa trực tiếp đến tính liên tục của phân tích chuỗi thời gian. Mô hình kiểm tra điểm uốn sẽ cho ra kết luận sai lệch hoàn toàn nếu không xử lý."</w:t>
      </w:r>
      <w:r>
        <w:t xml:space="preserve"> </w:t>
      </w:r>
      <w:r>
        <w:t xml:space="preserve">NCS đã có cảnh báo trong §4.10 (mục 5: R&amp;D schema-induced overestimation) nhưng cần làm sâu hơn với 3 đề xuất phương pháp luận.</w:t>
      </w:r>
    </w:p>
    <w:bookmarkStart w:id="84" w:name="Xbdd19916931c56e1c2c673575f2b66344072e3c"/>
    <w:p>
      <w:pPr>
        <w:pStyle w:val="Heading4"/>
      </w:pPr>
      <w:r>
        <w:t xml:space="preserve">4.11.1 Đề xuất 3a.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09"/>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 "doanh thu xuất khẩu trực tiếp" vs PICS3 hỏi tổng quát hơn).</w:t>
      </w:r>
    </w:p>
    <w:p>
      <w:pPr>
        <w:numPr>
          <w:ilvl w:val="0"/>
          <w:numId w:val="1009"/>
        </w:numPr>
        <w:pStyle w:val="Compact"/>
      </w:pPr>
      <w:r>
        <w:rPr>
          <w:bCs/>
          <w:b/>
        </w:rPr>
        <w:t xml:space="preserve">Cảnh báo phương pháp luận</w:t>
      </w:r>
      <w:r>
        <w:t xml:space="preserve">:</w:t>
      </w:r>
      <w:r>
        <w:t xml:space="preserve"> </w:t>
      </w:r>
      <w:r>
        <w:rPr>
          <w:iCs/>
          <w:i/>
        </w:rPr>
        <w:t xml:space="preserve">"Biến giả đâu phải cây đũa thần. Nó chỉ như miếng bọt biển hút tác động tĩnh, không sửa được phương sai."</w:t>
      </w:r>
      <w:r>
        <w:t xml:space="preserve"> </w:t>
      </w:r>
      <w:r>
        <w:t xml:space="preserve">Vì vậy cần đi cùng đề xuất 3b (anchor model) để kiểm tra robustness.</w:t>
      </w:r>
    </w:p>
    <w:p>
      <w:pPr>
        <w:numPr>
          <w:ilvl w:val="0"/>
          <w:numId w:val="1009"/>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84"/>
    <w:bookmarkStart w:id="85" w:name="Xc425f05b856a7e6b77f8bd6c992e76299ff1746"/>
    <w:p>
      <w:pPr>
        <w:pStyle w:val="Heading4"/>
      </w:pPr>
      <w:r>
        <w:t xml:space="preserve">4.11.2 Đề xuất 3b. Mô hình neo (anchor model)</w:t>
      </w:r>
    </w:p>
    <w:p>
      <w:pPr>
        <w:pStyle w:val="FirstParagraph"/>
      </w:pPr>
      <w:r>
        <w:t xml:space="preserve">Quy trình 3 bước:</w:t>
      </w:r>
    </w:p>
    <w:p>
      <w:pPr>
        <w:pStyle w:val="BodyText"/>
      </w:pPr>
      <w:r>
        <w:t xml:space="preserve">(i) Chạy hồi quy với data chỉ đến 2024 (n≈84.000 firms, 13 đợt khảo sát 2009-2024) → có</w:t>
      </w:r>
      <w:r>
        <w:t xml:space="preserve"> </w:t>
      </w:r>
      <w:r>
        <w:rPr>
          <w:bCs/>
          <w:b/>
        </w:rPr>
        <w:t xml:space="preserve">bộ hệ số "neo"</w:t>
      </w:r>
      <w:r>
        <w:t xml:space="preserve"> </w:t>
      </w:r>
      <w:r>
        <w:t xml:space="preserve">(anchor coefficients) cho FSTS, FSTS², TCI, DAI và các tương tác.</w:t>
      </w:r>
    </w:p>
    <w:p>
      <w:pPr>
        <w:pStyle w:val="BodyText"/>
      </w:pPr>
      <w:r>
        <w:t xml:space="preserve">(ii)</w:t>
      </w:r>
      <w:r>
        <w:t xml:space="preserve"> </w:t>
      </w: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pStyle w:val="BodyText"/>
      </w:pPr>
      <w:r>
        <w:t xml:space="preserve">(iii) Re-run hồi quy với data đầy đủ 2009-2025 (n=101.185), so sánh:</w:t>
      </w:r>
    </w:p>
    <w:p>
      <w:pPr>
        <w:numPr>
          <w:ilvl w:val="0"/>
          <w:numId w:val="1010"/>
        </w:numPr>
        <w:pStyle w:val="Compact"/>
      </w:pPr>
      <w:r>
        <w:t xml:space="preserve">Coefficient stability test (Wald test, Chow test): hệ số FSTS, FSTS², TCI, DAI có thay đổi significantly khi thêm 2025 không?</w:t>
      </w:r>
    </w:p>
    <w:p>
      <w:pPr>
        <w:numPr>
          <w:ilvl w:val="0"/>
          <w:numId w:val="1010"/>
        </w:numPr>
        <w:pStyle w:val="Compact"/>
      </w:pPr>
      <w:r>
        <w:t xml:space="preserve">Likelihood ratio test giữa 2 mô hình: Δ AIC, Δ BIC.</w:t>
      </w:r>
    </w:p>
    <w:p>
      <w:pPr>
        <w:numPr>
          <w:ilvl w:val="0"/>
          <w:numId w:val="1010"/>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 "cấu trúc bảng hỏi mới có làm đảo chiều ý nghĩa thống kê cốt lõi hay không".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85"/>
    <w:bookmarkStart w:id="86" w:name="Xd4b13deb237aab92ad980c5883cab45a301dea9"/>
    <w:p>
      <w:pPr>
        <w:pStyle w:val="Heading4"/>
      </w:pPr>
      <w:r>
        <w:t xml:space="preserve">4.11.3 Đề xuất 3c. Tách 2025 thành "Panel hậu đại dịch độc lập"</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"Quy luật thể chế và U-curve giai đoạn 2009-2024 có còn hiệu lực trong 'trạng thái bình thường mới' (new normal) hậu COVID + AI bùng nổ?"</w:t>
      </w:r>
    </w:p>
    <w:p>
      <w:pPr>
        <w:pStyle w:val="BodyText"/>
      </w:pPr>
      <w:r>
        <w:t xml:space="preserve">Tiến trình:</w:t>
      </w:r>
    </w:p>
    <w:p>
      <w:pPr>
        <w:numPr>
          <w:ilvl w:val="0"/>
          <w:numId w:val="1011"/>
        </w:numPr>
        <w:pStyle w:val="Compact"/>
      </w:pPr>
      <w:r>
        <w:rPr>
          <w:bCs/>
          <w:b/>
        </w:rPr>
        <w:t xml:space="preserve">Bước 1</w:t>
      </w:r>
      <w:r>
        <w:t xml:space="preserve">: Chạy mô hình chính trên data 2009-2024, báo cáo H1-H6 + H7 + Lin-Mehlum tests.</w:t>
      </w:r>
    </w:p>
    <w:p>
      <w:pPr>
        <w:numPr>
          <w:ilvl w:val="0"/>
          <w:numId w:val="1011"/>
        </w:numPr>
        <w:pStyle w:val="Compact"/>
      </w:pPr>
      <w:r>
        <w:rPr>
          <w:bCs/>
          <w:b/>
        </w:rPr>
        <w:t xml:space="preserve">Bước 2</w:t>
      </w:r>
      <w:r>
        <w:t xml:space="preserve">: Test cùng mô hình trên data 2025 only (n=16.979) như</w:t>
      </w:r>
      <w:r>
        <w:t xml:space="preserve"> </w:t>
      </w:r>
      <w:r>
        <w:rPr>
          <w:bCs/>
          <w:b/>
        </w:rPr>
        <w:t xml:space="preserve">out-of-sample validation panel</w:t>
      </w:r>
      <w:r>
        <w:t xml:space="preserve">. Ghi rõ "post-pandemic + AI era panel" (post-COVID 2020-2022 + AI surge 2023-2025).</w:t>
      </w:r>
    </w:p>
    <w:p>
      <w:pPr>
        <w:numPr>
          <w:ilvl w:val="0"/>
          <w:numId w:val="1011"/>
        </w:numPr>
        <w:pStyle w:val="Compact"/>
      </w:pPr>
      <w:r>
        <w:rPr>
          <w:bCs/>
          <w:b/>
        </w:rPr>
        <w:t xml:space="preserve">Bước 3</w:t>
      </w:r>
      <w:r>
        <w:t xml:space="preserve">: Báo cáo:</w:t>
      </w:r>
    </w:p>
    <w:p>
      <w:pPr>
        <w:numPr>
          <w:ilvl w:val="1"/>
          <w:numId w:val="1012"/>
        </w:numPr>
        <w:pStyle w:val="Compact"/>
      </w:pPr>
      <w:r>
        <w:t xml:space="preserve">Hệ số nào giữ stability (validation passed)</w:t>
      </w:r>
    </w:p>
    <w:p>
      <w:pPr>
        <w:numPr>
          <w:ilvl w:val="1"/>
          <w:numId w:val="1012"/>
        </w:numPr>
        <w:pStyle w:val="Compact"/>
      </w:pPr>
      <w:r>
        <w:t xml:space="preserve">Hệ số nào thay đổi (validation failed → discuss as evidence của paradigm shift hậu COVID + AI)</w:t>
      </w:r>
    </w:p>
    <w:p>
      <w:pPr>
        <w:numPr>
          <w:ilvl w:val="1"/>
          <w:numId w:val="1012"/>
        </w:numPr>
        <w:pStyle w:val="Compact"/>
      </w:pPr>
      <w:r>
        <w:t xml:space="preserve">Effect size differences và policy implications.</w:t>
      </w:r>
    </w:p>
    <w:p>
      <w:pPr>
        <w:pStyle w:val="FirstParagraph"/>
      </w:pPr>
      <w:r>
        <w:rPr>
          <w:bCs/>
          <w:b/>
        </w:rPr>
        <w:t xml:space="preserve">Nhận xét nội bộ</w:t>
      </w:r>
      <w:r>
        <w:t xml:space="preserve">:</w:t>
      </w:r>
      <w:r>
        <w:t xml:space="preserve"> </w:t>
      </w:r>
      <w:r>
        <w:rPr>
          <w:iCs/>
          <w:i/>
        </w:rPr>
        <w:t xml:space="preserve">"Biến rủi ro dữ liệu thành chương phân tích hướng tới tương lai cực kỳ giá trị."</w:t>
      </w:r>
    </w:p>
    <w:bookmarkEnd w:id="86"/>
    <w:bookmarkStart w:id="87" w:name="X4d66f53d7d10335ba04975d38364e940e33b415"/>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robustness check section.</w:t>
      </w:r>
    </w:p>
    <w:p>
      <w:r>
        <w:pict>
          <v:rect style="width:0;height:1.5pt" o:hralign="center" o:hrstd="t" o:hr="t"/>
        </w:pict>
      </w:r>
    </w:p>
    <w:bookmarkEnd w:id="87"/>
    <w:bookmarkEnd w:id="88"/>
    <w:bookmarkEnd w:id="89"/>
    <w:bookmarkEnd w:id="90"/>
    <w:bookmarkStart w:id="118" w:name="Xf5948eaf0496be42bd77ab371211195ea0295f9"/>
    <w:p>
      <w:pPr>
        <w:pStyle w:val="Heading1"/>
      </w:pPr>
      <w:r>
        <w:t xml:space="preserve">CHUYÊN ĐỀ TIẾN SĨ SỐ 1 — BẢN NHÁP ĐẦY ĐỦ (PHẦN 3: CHƯƠNG 5–7 + TÀI LIỆU THAM KHẢO + PHỤ LỤC)</w: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p>
    <w:p>
      <w:r>
        <w:pict>
          <v:rect style="width:0;height:1.5pt" o:hralign="center" o:hrstd="t" o:hr="t"/>
        </w:pict>
      </w:r>
    </w:p>
    <w:bookmarkStart w:id="100" w:name="chương-5--bảy-tiểu-cảnh-điển-hình"/>
    <w:p>
      <w:pPr>
        <w:pStyle w:val="Heading2"/>
      </w:pPr>
      <w:r>
        <w:t xml:space="preserve">CHƯƠNG 5 — BẢY TIỂU CẢNH ĐIỂN HÌNH</w:t>
      </w:r>
    </w:p>
    <w:bookmarkStart w:id="91" w:name="X9cbb07080d01a22e94113f691e4423b8f5274f7"/>
    <w:p>
      <w:pPr>
        <w:pStyle w:val="Heading3"/>
      </w:pPr>
      <w:r>
        <w:t xml:space="preserve">5.1 Singapore (Advanced đổi mới sáng tạo dẫn dắt, innovation-driven, n=623, đợt 2023)</w:t>
      </w:r>
    </w:p>
    <w:p>
      <w:pPr>
        <w:pStyle w:val="FirstParagraph"/>
      </w:pPr>
      <w:r>
        <w:t xml:space="preserve">FSTS 7,1%; doanh nghiệp xuất khẩu 17,8%; website 66,1%; ISO 23,3%; R&amp;D 7,5%; FDI 31,5%. Độ lệch chuẩn log năng suất (sd log) 1,03.</w:t>
      </w:r>
      <w:r>
        <w:t xml:space="preserve"> </w:t>
      </w:r>
      <w:r>
        <w:rPr>
          <w:bCs/>
          <w:b/>
        </w:rPr>
        <w:t xml:space="preserve">Biên trên (upper boundary)</w:t>
      </w:r>
      <w:r>
        <w:t xml:space="preserve"> </w:t>
      </w:r>
      <w:r>
        <w:t xml:space="preserve">của nhóm Advanced đổi mới sáng tạo dẫn dắt. Theo bài báo P3 (Singapore. MIR): mô hình M8 cho R² hiệu chỉnh = 0,196; tương tác FSTS² × DAI = 3,119; điểm uốn (turning point) ở mức ~85%.</w:t>
      </w:r>
    </w:p>
    <w:bookmarkEnd w:id="91"/>
    <w:bookmarkStart w:id="92" w:name="X17b792cdd0dc50e8f87545e12cc4908efbb56ea"/>
    <w:p>
      <w:pPr>
        <w:pStyle w:val="Heading3"/>
      </w:pPr>
      <w:r>
        <w:t xml:space="preserve">5.2 Saudi Arabia, Qatar và Kuwait (Advanced tài nguyên dẫn dắt,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 (rentier state)</w:t>
      </w:r>
      <w:r>
        <w:t xml:space="preserve">,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điều chỉnh giảm tăng trưởng Saudi Arabia mạnh từ ~4,5% xuống 3,1% do giảm sản lượng dầu; ADB (2026, April), báo cáo</w:t>
      </w:r>
      <w:r>
        <w:t xml:space="preserve"> </w:t>
      </w:r>
      <w:r>
        <w:rPr>
          <w:iCs/>
          <w:i/>
        </w:rPr>
        <w:t xml:space="preserve">Asian Development Outlook April 2026: The Middle East Conflict Challenges Resilience in Asia and the Pacific</w:t>
      </w:r>
      <w:r>
        <w:t xml:space="preserve">, dự báo Pacific 3,4%, Đông Nam Á 4,7%, Việt Nam 7,0%, củng cố luận điểm về dị biệt Advanced innovation vs resource.</w:t>
      </w:r>
    </w:p>
    <w:bookmarkEnd w:id="92"/>
    <w:bookmarkStart w:id="93" w:name="Xaf1ed087367cccc27ea2235002f1f6156b0ead2"/>
    <w:p>
      <w:pPr>
        <w:pStyle w:val="Heading3"/>
      </w:pPr>
      <w:r>
        <w:t xml:space="preserve">5.3 Việt Nam (n=3.077, 3 đợt khảo sát), cập nhật v3.4 với ADB Vietnam Outlook 2026</w:t>
      </w:r>
    </w:p>
    <w:p>
      <w:pPr>
        <w:pStyle w:val="FirstParagraph"/>
      </w:pPr>
      <w:r>
        <w:t xml:space="preserve">FSTS 23,2% → 17,9% → 16,1% (suy giảm); doanh nghiệp xuất khẩu 37,1% → 23,8%; ISO 17–23%; R&amp;D 6,1% (đợt 2023). Pattern</w:t>
      </w:r>
      <w:r>
        <w:t xml:space="preserve"> </w:t>
      </w:r>
      <w:r>
        <w:rPr>
          <w:bCs/>
          <w:b/>
        </w:rPr>
        <w:t xml:space="preserve">kinh tế hai tầng (two-tier economy)</w:t>
      </w:r>
      <w:r>
        <w:t xml:space="preserve">,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w:t>
      </w:r>
      <w:r>
        <w:t xml:space="preserve">(cao nhất khu vực Đông Nam Á) và dự phóng</w:t>
      </w:r>
      <w:r>
        <w:t xml:space="preserve"> </w:t>
      </w:r>
      <w:r>
        <w:rPr>
          <w:bCs/>
          <w:b/>
        </w:rPr>
        <w:t xml:space="preserve">7,2% (2026) → 7,0% (2027)</w:t>
      </w:r>
      <w:r>
        <w:t xml:space="preserve">, vượt mức bình quân ASEAN 4,6% và Đông Nam Á 4,7%. Bốn động lực chính: (a) FDI commitment $2,4 tỷ qua 18 dự án chiến lược; (b) Năng suất lao động tăng 5,1% giai đoạn 2026-2027; (c) Hai-tầng kinh tế tiếp tục phân kỳ + ADB Policy-Based Loans $2,4B target SME nội địa; (d) GVC re-positioning từ assembly downstream → mid-stream design/R&amp;D theo 3 trụ cột "Resilience + Environmental Sustainability + Inclusiveness".</w:t>
      </w:r>
    </w:p>
    <w:p>
      <w:pPr>
        <w:pStyle w:val="BodyText"/>
      </w:pPr>
      <w:r>
        <w:rPr>
          <w:bCs/>
          <w:b/>
        </w:rPr>
        <w:t xml:space="preserve">Cập nhật macro deep, 4 mảng bổ sung</w:t>
      </w:r>
      <w:r>
        <w:t xml:space="preserve">:</w:t>
      </w:r>
    </w:p>
    <w:p>
      <w:pPr>
        <w:pStyle w:val="BodyText"/>
      </w:pPr>
      <w:r>
        <w:t xml:space="preserve">(i)</w:t>
      </w:r>
      <w:r>
        <w:t xml:space="preserve"> </w:t>
      </w:r>
      <w:r>
        <w:rPr>
          <w:bCs/>
          <w:b/>
        </w:rPr>
        <w:t xml:space="preserve">Lạm phát</w:t>
      </w:r>
      <w:r>
        <w:t xml:space="preserve">: ADB dự báo</w:t>
      </w:r>
      <w:r>
        <w:t xml:space="preserve"> </w:t>
      </w:r>
      <w:r>
        <w:rPr>
          <w:bCs/>
          <w:b/>
        </w:rPr>
        <w:t xml:space="preserve">4,0% (2026) → 3,8% (2027)</w:t>
      </w:r>
      <w:r>
        <w:t xml:space="preserve">, nằm trong vùng mục tiêu của Ngân hàng Nhà nước (≤4,5%). Áp lực từ giá năng lượng + xung đột Trung Đông kéo dài + đứt gãy chuỗi cung ứng vận tải biển. Lạm phát kiểm soát được tạo dư địa cho chính sách tiền tệ nới lỏng.</w:t>
      </w:r>
    </w:p>
    <w:p>
      <w:pPr>
        <w:pStyle w:val="BodyText"/>
      </w:pPr>
      <w:r>
        <w:t xml:space="preserve">(ii)</w:t>
      </w:r>
      <w:r>
        <w:t xml:space="preserve"> </w:t>
      </w:r>
      <w:r>
        <w:rPr>
          <w:bCs/>
          <w:b/>
        </w:rPr>
        <w:t xml:space="preserve">Cấu trúc ngành</w:t>
      </w:r>
      <w:r>
        <w:t xml:space="preserve"> </w:t>
      </w:r>
      <w:r>
        <w:t xml:space="preserve">(đóng góp tăng trưởng 2026):</w:t>
      </w:r>
      <w:r>
        <w:t xml:space="preserve"> </w:t>
      </w:r>
      <w:r>
        <w:rPr>
          <w:bCs/>
          <w:b/>
        </w:rPr>
        <w:t xml:space="preserve">công nghiệp + xây dựng 7,7%</w:t>
      </w:r>
      <w:r>
        <w:t xml:space="preserve"> </w:t>
      </w:r>
      <w:r>
        <w:t xml:space="preserve">(FDI manufacturing +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chuyển dịch tiếp tục từ nông nghiệp → công nghiệp → dịch vụ chất lượng cao.</w:t>
      </w:r>
    </w:p>
    <w:p>
      <w:pPr>
        <w:pStyle w:val="BodyText"/>
      </w:pPr>
      <w:r>
        <w:t xml:space="preserve">(iii)</w:t>
      </w:r>
      <w:r>
        <w:t xml:space="preserve"> </w:t>
      </w:r>
      <w:r>
        <w:rPr>
          <w:bCs/>
          <w:b/>
        </w:rPr>
        <w:t xml:space="preserve">Bốn trụ cột tăng trưởng</w:t>
      </w:r>
      <w:r>
        <w:t xml:space="preserve">: (a)</w:t>
      </w:r>
      <w:r>
        <w:t xml:space="preserve"> </w:t>
      </w:r>
      <w:r>
        <w:rPr>
          <w:bCs/>
          <w:b/>
        </w:rPr>
        <w:t xml:space="preserve">Đầu tư công</w:t>
      </w:r>
      <w:r>
        <w:t xml:space="preserve">, gói 800.000 tỷ VND giải ngân ưu tiên hạ tầng giao thông + năng lượng sạch + chuyển đổi số chính phủ; (b)</w:t>
      </w:r>
      <w:r>
        <w:t xml:space="preserve"> </w:t>
      </w:r>
      <w:r>
        <w:rPr>
          <w:bCs/>
          <w:b/>
        </w:rPr>
        <w:t xml:space="preserve">Chính sách tiền tệ nới lỏng</w:t>
      </w:r>
      <w:r>
        <w:t xml:space="preserve">, Ngân hàng Nhà nước duy trì lãi suất tái cấp vốn thấp + mở rộng tín dụng có chọn lọc cho SME + manufacturing; (c)</w:t>
      </w:r>
      <w:r>
        <w:t xml:space="preserve"> </w:t>
      </w:r>
      <w:r>
        <w:rPr>
          <w:bCs/>
          <w:b/>
        </w:rPr>
        <w:t xml:space="preserve">FDI inflows</w:t>
      </w:r>
      <w:r>
        <w:t xml:space="preserve">, $2,4 tỷ commitment qua 18 dự án chiến lược (fintech, năng lượng sạch, logistics, semiconductor packaging); (d)</w:t>
      </w:r>
      <w:r>
        <w:t xml:space="preserve"> </w:t>
      </w:r>
      <w:r>
        <w:rPr>
          <w:bCs/>
          <w:b/>
        </w:rPr>
        <w:t xml:space="preserve">Xuất khẩu</w:t>
      </w:r>
      <w:r>
        <w:t xml:space="preserve">, duy trì &gt;30% kim ngạch sang Mỹ (đối tác lớn nhất) + đa dạng hóa qua CPTPP + RCEP + ACFTA.</w:t>
      </w:r>
    </w:p>
    <w:p>
      <w:pPr>
        <w:pStyle w:val="BodyText"/>
      </w:pPr>
      <w:r>
        <w:t xml:space="preserve">(iv)</w:t>
      </w:r>
      <w:r>
        <w:t xml:space="preserve"> </w:t>
      </w: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 chip shortage + vận tải biển; (b)</w:t>
      </w:r>
      <w:r>
        <w:t xml:space="preserve"> </w:t>
      </w:r>
      <w:r>
        <w:rPr>
          <w:bCs/>
          <w:b/>
        </w:rPr>
        <w:t xml:space="preserve">Chính sách thuế quan Mỹ 2026</w:t>
      </w:r>
      <w:r>
        <w:t xml:space="preserve"> </w:t>
      </w:r>
      <w:r>
        <w:t xml:space="preserve">— thuế 10% tạm thời, nguy cơ tăng 15% (xem §1.1 file 14 v3.11 Lớp 7); (c)</w:t>
      </w:r>
      <w:r>
        <w:t xml:space="preserve"> </w:t>
      </w:r>
      <w:r>
        <w:rPr>
          <w:bCs/>
          <w:b/>
        </w:rPr>
        <w:t xml:space="preserve">Thanh khoản nội địa</w:t>
      </w:r>
      <w:r>
        <w:t xml:space="preserve"> </w:t>
      </w:r>
      <w:r>
        <w:t xml:space="preserve">— nợ doanh nghiệp/GDP cao (~120%); (d)</w:t>
      </w:r>
      <w:r>
        <w:t xml:space="preserve"> </w:t>
      </w:r>
      <w:r>
        <w:rPr>
          <w:bCs/>
          <w:b/>
        </w:rPr>
        <w:t xml:space="preserve">Nợ xấu hệ thống ngân hàng</w:t>
      </w:r>
      <w:r>
        <w:t xml:space="preserve"> </w:t>
      </w:r>
      <w:r>
        <w:t xml:space="preserve">— đặc biệt từ bất động sản; (e)</w:t>
      </w:r>
      <w:r>
        <w:t xml:space="preserve"> </w:t>
      </w:r>
      <w:r>
        <w:rPr>
          <w:bCs/>
          <w:b/>
        </w:rPr>
        <w:t xml:space="preserve">Trái phiếu doanh nghiệp yếu</w:t>
      </w:r>
      <w:r>
        <w:t xml:space="preserve"> </w:t>
      </w:r>
      <w:r>
        <w:t xml:space="preserve">— sau khủng hoảng Tân Hoàng Minh + Vạn Thịnh Phát 2022-2024 — cần củng cố niềm tin nhà đầu tư trái phiếu trong nước.</w:t>
      </w:r>
    </w:p>
    <w:p>
      <w:pPr>
        <w:pStyle w:val="BodyText"/>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đo bước chuyển từ assembly → higher-value của FDI manufacturing như test cho</w:t>
      </w:r>
      <w:r>
        <w:t xml:space="preserve"> </w:t>
      </w:r>
      <w:r>
        <w:rPr>
          <w:bCs/>
          <w:b/>
        </w:rPr>
        <w:t xml:space="preserve">H7 industry × institutional dynamism interaction</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 dịch vụ / nông nghiệp) làm control variable trong robustness check #6 (sector composition adjustment).</w:t>
      </w:r>
    </w:p>
    <w:bookmarkEnd w:id="93"/>
    <w:bookmarkStart w:id="94" w:name="X02eba480c8bf65ec3b5f4b23a24062644d37353"/>
    <w:p>
      <w:pPr>
        <w:pStyle w:val="Heading3"/>
      </w:pPr>
      <w:r>
        <w:t xml:space="preserve">5.4 Trung Quốc (n=4.889)</w:t>
      </w:r>
    </w:p>
    <w:p>
      <w:pPr>
        <w:pStyle w:val="FirstParagraph"/>
      </w:pPr>
      <w:r>
        <w:t xml:space="preserve">FSTS 10,9% → 8,8%; FDI ≥10% chiếm 6,0%. Quan hệ FSTS – năng suất là đường cong bậc hai (inverted-U) với điểm uốn 49,4% (2012) / 47,2% (2024) — bền vững theo kiểm định Paternoster (Đỗ &amp; Phan, 2026 —</w:t>
      </w:r>
      <w:r>
        <w:t xml:space="preserve"> </w:t>
      </w:r>
      <w:r>
        <w:rPr>
          <w:iCs/>
          <w:i/>
        </w:rPr>
        <w:t xml:space="preserve">IJOEM</w:t>
      </w:r>
      <w:r>
        <w:t xml:space="preserve">).</w:t>
      </w:r>
      <w:r>
        <w:t xml:space="preserve"> </w:t>
      </w:r>
      <w:r>
        <w:rPr>
          <w:bCs/>
          <w:b/>
        </w:rPr>
        <w:t xml:space="preserve">Cập nhật v3.1c</w:t>
      </w:r>
      <w:r>
        <w:t xml:space="preserve">: Wang, Huang và Hong (2024 —</w:t>
      </w:r>
      <w:r>
        <w:t xml:space="preserve"> </w:t>
      </w:r>
      <w:r>
        <w:rPr>
          <w:iCs/>
          <w:i/>
        </w:rPr>
        <w:t xml:space="preserve">IRFA</w:t>
      </w:r>
      <w:r>
        <w:t xml:space="preserve">) phân tích 80% bank risk models ở PRC phụ thuộc dominant tech providers —</w:t>
      </w:r>
      <w:r>
        <w:t xml:space="preserve"> </w:t>
      </w:r>
      <w:r>
        <w:rPr>
          <w:bCs/>
          <w:b/>
        </w:rPr>
        <w:t xml:space="preserve">concentration risk</w:t>
      </w:r>
      <w:r>
        <w:t xml:space="preserve"> </w:t>
      </w:r>
      <w:r>
        <w:t xml:space="preserve">trong digital ecosystem PRC.</w:t>
      </w:r>
    </w:p>
    <w:p>
      <w:pPr>
        <w:pStyle w:val="BodyText"/>
      </w:pPr>
      <w:r>
        <w:rPr>
          <w:bCs/>
          <w:b/>
        </w:rPr>
        <w:t xml:space="preserve">Khung Zombie firms PRC — lý giải bổ sung cho điểm uốn bậc hai (inverted-U) ~49%</w:t>
      </w:r>
      <w:r>
        <w:t xml:space="preserve">: Theo các phân tích nội bộ và văn liệu Caballero, Hoshi và Kashyap (2008 —</w:t>
      </w:r>
      <w:r>
        <w:t xml:space="preserve"> </w:t>
      </w:r>
      <w:r>
        <w:rPr>
          <w:iCs/>
          <w:i/>
        </w:rPr>
        <w:t xml:space="preserve">American Economic Review</w:t>
      </w:r>
      <w:r>
        <w:t xml:space="preserve">), khái niệm</w:t>
      </w:r>
      <w:r>
        <w:t xml:space="preserve"> </w:t>
      </w:r>
      <w:r>
        <w:rPr>
          <w:bCs/>
          <w:b/>
        </w:rPr>
        <w:t xml:space="preserve">"doanh nghiệp xác sống" (zombie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pStyle w:val="BodyText"/>
      </w:pPr>
      <w:r>
        <w:t xml:space="preserve">(i)</w:t>
      </w:r>
      <w:r>
        <w:t xml:space="preserve"> </w:t>
      </w:r>
      <w:r>
        <w:rPr>
          <w:bCs/>
          <w:b/>
        </w:rPr>
        <w:t xml:space="preserve">Chậm đào thải</w:t>
      </w:r>
      <w:r>
        <w:t xml:space="preserve"> </w:t>
      </w:r>
      <w:r>
        <w:t xml:space="preserve">(slow exit): Doanh nghiệp xác sống không phá sản → vẫn chiếm dụng vốn vay ngân hàng + đất đai + lao động — kéo dài chu kỳ phân bổ sai nguồn lực (Hsieh &amp; Klenow, 2009 channel). Trong WBES PRC pool, một số firms zombie có FSTS cao (cố xuất khẩu để duy trì doanh thu) nhưng năng suất thực thấp → góp phần kéo điểm uốn bậc hai về phía ~49%.</w:t>
      </w:r>
    </w:p>
    <w:p>
      <w:pPr>
        <w:pStyle w:val="BodyText"/>
      </w:pPr>
      <w:r>
        <w:t xml:space="preserve">(ii)</w:t>
      </w:r>
      <w:r>
        <w:t xml:space="preserve"> </w:t>
      </w:r>
      <w:r>
        <w:rPr>
          <w:bCs/>
          <w:b/>
        </w:rPr>
        <w:t xml:space="preserve">Cản trở entry</w:t>
      </w:r>
      <w:r>
        <w:t xml:space="preserve"> </w:t>
      </w:r>
      <w:r>
        <w:t xml:space="preserve">(entry barrier): SME mới không thể chiếm thị phần vì zombie firms vẫn occupy thị trường nội địa với giá dumping. Liên kết §5.5 Emerging Asia: Việt Nam + Indonesia + India tránh được zombie effect nhờ market discipline mạnh hơn → entry rate cao + creative destruction (Schumpeter, 1942) hoạt động tốt hơn.</w:t>
      </w:r>
    </w:p>
    <w:p>
      <w:pPr>
        <w:pStyle w:val="BodyText"/>
      </w:pPr>
      <w:r>
        <w:t xml:space="preserve">(iii)</w:t>
      </w:r>
      <w:r>
        <w:t xml:space="preserve"> </w:t>
      </w:r>
      <w:r>
        <w:rPr>
          <w:bCs/>
          <w:b/>
        </w:rPr>
        <w:t xml:space="preserve">Concentration risk + zombie hybrid</w:t>
      </w:r>
      <w:r>
        <w:t xml:space="preserve">: Wang/Huang/Hong (2024) finding (80% bank risk models PRC dependent on dominant tech providers)</w:t>
      </w:r>
      <w:r>
        <w:t xml:space="preserve"> </w:t>
      </w:r>
      <w:r>
        <w:rPr>
          <w:bCs/>
          <w:b/>
        </w:rPr>
        <w:t xml:space="preserve">kết hợp</w:t>
      </w:r>
      <w:r>
        <w:t xml:space="preserve"> </w:t>
      </w:r>
      <w:r>
        <w:t xml:space="preserve">với zombie firms structure tạo ra rủi ro hệ thống — nếu fintech provider lock-in fails + zombie firms massively default đồng thời → systemic banking crisis. Đây là rủi ro mới cho China-exposed Vietnamese exporters.</w:t>
      </w:r>
    </w:p>
    <w:p>
      <w:pPr>
        <w:pStyle w:val="BodyText"/>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firms với ROA &lt;0 trong 3 năm liên tiếp + tăng nợ vay) để test xem điểm uốn bậc hai ~49% có shifted khi loại zombie firms khỏi PRC subsample. Robustness check #7 (zombie-excluded re-estimation) — bổ sung sau Manufacturing-only / ICT-excluded / Tourism-separated SIDS / Construction-tested Gulf / Mining-excluded resource / Sector composition adjustment.</w:t>
      </w:r>
    </w:p>
    <w:bookmarkEnd w:id="94"/>
    <w:bookmarkStart w:id="95" w:name="Xd1b9d97fa4c985bc01d0b470585adfaadea98ed"/>
    <w:p>
      <w:pPr>
        <w:pStyle w:val="Heading3"/>
      </w:pPr>
      <w:r>
        <w:t xml:space="preserve">5.5 Tổng hợp Emerging Asia (n=42.278) — bổ sung India case (v3.2)</w:t>
      </w:r>
    </w:p>
    <w:p>
      <w:pPr>
        <w:pStyle w:val="FirstParagraph"/>
      </w:pPr>
      <w:r>
        <w:t xml:space="preserve">FSTS 7,6%; FDI ≥10% chiếm 4,4%; tỷ lệ doanh nghiệp R&amp;D dương 16%. Phân tán nội bộ lớn (sd log 2,18) — phản ánh dị biệt rộng xuyên 7 nước Emerging.</w:t>
      </w:r>
    </w:p>
    <w:p>
      <w:pPr>
        <w:pStyle w:val="BodyText"/>
      </w:pPr>
      <w:r>
        <w:rPr>
          <w:bCs/>
          <w:b/>
        </w:rPr>
        <w:t xml:space="preserve">Trường hợp Ấn Độ — chứng cứ lan tỏa công nghệ (technology spillovers) (NEW v3.2)</w:t>
      </w:r>
      <w:r>
        <w:t xml:space="preserve">: Theo Sikdar và Mukhopadhyay (2026 —</w:t>
      </w:r>
      <w:r>
        <w:t xml:space="preserve"> </w:t>
      </w:r>
      <w:r>
        <w:rPr>
          <w:iCs/>
          <w:i/>
        </w:rPr>
        <w:t xml:space="preserve">Asian Development Review, 43</w:t>
      </w:r>
      <w:r>
        <w:t xml:space="preserve">(1), pp.37-75), nghiên cứu panel</w:t>
      </w:r>
      <w:r>
        <w:t xml:space="preserve"> </w:t>
      </w:r>
      <w:r>
        <w:rPr>
          <w:bCs/>
          <w:b/>
        </w:rPr>
        <w:t xml:space="preserve">4.293 doanh nghiệp Ấn Độ giai đoạn 2006-2019</w:t>
      </w:r>
      <w:r>
        <w:t xml:space="preserve">. Phát hiện: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 $42,396M (2012-2022); chi tiêu nghiên cứu-phát triển (R&amp;D) trì trệ ở 0,7% GDP;</w:t>
      </w:r>
      <w:r>
        <w:t xml:space="preserve"> </w:t>
      </w:r>
      <w:r>
        <w:rPr>
          <w:bCs/>
          <w:b/>
        </w:rPr>
        <w:t xml:space="preserve">đơn đăng ký sáng chế của cư dân (resident patent filing)</w:t>
      </w:r>
      <w:r>
        <w:t xml:space="preserve"> </w:t>
      </w:r>
      <w:r>
        <w:t xml:space="preserve">tăng +11,9%/năm 2012-2022.</w:t>
      </w:r>
    </w:p>
    <w:bookmarkEnd w:id="95"/>
    <w:bookmarkStart w:id="96" w:name="X5c9923a8ebeb21a62fb2478c885f145bd4f6092"/>
    <w:p>
      <w:pPr>
        <w:pStyle w:val="Heading3"/>
      </w:pPr>
      <w:r>
        <w:t xml:space="preserve">5.6 Mongolia — từ lời nguyền tài nguyên đến chuyển đổi critical minerals (n=1.905, 4 đợt 2009–2025)</w:t>
      </w:r>
    </w:p>
    <w:p>
      <w:pPr>
        <w:pStyle w:val="FirstParagraph"/>
      </w:pPr>
      <w:r>
        <w:t xml:space="preserve">FSTS đình trệ 4-6%; FDI ≥10% giảm rõ</w:t>
      </w:r>
      <w:r>
        <w:t xml:space="preserve"> </w:t>
      </w:r>
      <w:r>
        <w:rPr>
          <w:bCs/>
          <w:b/>
        </w:rPr>
        <w:t xml:space="preserve">7,2% → 3,2%</w:t>
      </w:r>
      <w:r>
        <w:t xml:space="preserve">; tỷ lệ website tăng 39% → 65%.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 chuyển đổi critical minerals (ADB, 2026, May)</w:t>
      </w:r>
      <w:r>
        <w:t xml:space="preserve">: Mongolia ở giao điểm chiến lược của</w:t>
      </w:r>
      <w:r>
        <w:t xml:space="preserve"> </w:t>
      </w:r>
      <w:r>
        <w:rPr>
          <w:bCs/>
          <w:b/>
        </w:rPr>
        <w:t xml:space="preserve">11 critical minerals</w:t>
      </w:r>
      <w:r>
        <w:t xml:space="preserve"> </w:t>
      </w:r>
      <w:r>
        <w:t xml:space="preserve">(Cu, Li, Mo, Mn, Co, Ni, W, REE, etc.). Cu exports 1,69 Mt (2024) = 22,1% tổng xuất khẩu. Oyu Tolgoi target 500.000 tấn/năm 2028-2036. PRC processing dominance: 100% graphite, 90% Mn, 70% Co. CĐ2 thêm biến</w:t>
      </w:r>
      <w:r>
        <w:t xml:space="preserve"> </w:t>
      </w:r>
      <w:r>
        <w:rPr>
          <w:rStyle w:val="VerbatimChar"/>
        </w:rPr>
        <w:t xml:space="preserve">Critical_Minerals_Exposure</w:t>
      </w:r>
      <w:r>
        <w:t xml:space="preserve">.</w:t>
      </w:r>
    </w:p>
    <w:p>
      <w:pPr>
        <w:pStyle w:val="BlockText"/>
      </w:pPr>
      <w:r>
        <w:rPr>
          <w:iCs/>
          <w:i/>
        </w:rPr>
        <w:t xml:space="preserve">Hình 5.6.1, Mongolia: Evolution 2009–2025 (4 đợt khảo sát WBES). Hình sẽ được sinh từ</w:t>
      </w:r>
      <w:r>
        <w:rPr>
          <w:iCs/>
          <w:i/>
        </w:rPr>
        <w:t xml:space="preserve"> </w:t>
      </w:r>
      <w:r>
        <w:rPr>
          <w:rStyle w:val="VerbatimChar"/>
          <w:iCs/>
          <w:i/>
        </w:rPr>
        <w:t xml:space="preserve">generate_figures.py::fig_5_6_mongolia()</w:t>
      </w:r>
      <w:r>
        <w:rPr>
          <w:iCs/>
          <w:i/>
        </w:rPr>
        <w:t xml:space="preserve"> </w:t>
      </w:r>
      <w:r>
        <w:rPr>
          <w:iCs/>
          <w:i/>
        </w:rPr>
        <w:t xml:space="preserve">trong bản nộp cuối; PENDING.</w:t>
      </w:r>
    </w:p>
    <w:bookmarkEnd w:id="96"/>
    <w:bookmarkStart w:id="98" w:name="Xb5a839706cb6c5543e8866635dc482e23cee749"/>
    <w:p>
      <w:pPr>
        <w:pStyle w:val="Heading3"/>
      </w:pPr>
      <w:r>
        <w:t xml:space="preserve">5.7 SIDS Thái Bình Dương (7 nước — cập nhật v3.1, n=1.371)</w:t>
      </w:r>
    </w:p>
    <w:p>
      <w:pPr>
        <w:pStyle w:val="FirstParagraph"/>
      </w:pPr>
      <w:r>
        <w:rPr>
          <w:bCs/>
          <w:b/>
        </w:rPr>
        <w:t xml:space="preserve">Bảy nước</w:t>
      </w:r>
      <w:r>
        <w:t xml:space="preserve">: Fiji (FJI), Papua New Guinea (PNG), Solomon Islands (SLB), Tonga (TON), Vanuatu (VUT), Samoa (WSM),</w:t>
      </w:r>
      <w:r>
        <w:t xml:space="preserve"> </w:t>
      </w:r>
      <w:r>
        <w:rPr>
          <w:bCs/>
          <w:b/>
        </w:rPr>
        <w:t xml:space="preserve">Kiribati (KIR — bổ sung 2025)</w:t>
      </w:r>
      <w:r>
        <w:t xml:space="preserve">. Tổng n=1.371.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 trường hợp biên CỰC ĐOAN nhất</w:t>
      </w:r>
      <w:r>
        <w:t xml:space="preserve">: FSTS 1,03%, FDI 0,7%, website 18,7%, ISO 1,3%, sd log 1,48, SME 93,3%. GDP/đầu người ~1.700 USD, viện trợ AUS/NZ ~30% GDP.</w:t>
      </w:r>
    </w:p>
    <w:bookmarkStart w:id="97" w:name="X603ea92e61df18dfa2ce8d2f63a061466d49414"/>
    <w:p>
      <w:pPr>
        <w:pStyle w:val="Heading4"/>
      </w:pPr>
      <w:r>
        <w:t xml:space="preserve">5.7.5 Bối cảnh kinh tế vĩ mô PICs Pacific</w:t>
      </w:r>
    </w:p>
    <w:p>
      <w:pPr>
        <w:pStyle w:val="FirstParagraph"/>
      </w:pPr>
      <w:r>
        <w:t xml:space="preserve">PICs có 4 trụ cột MIRAB (Bertram, 2006): (1) khu vực công chủ đạo (30-50% việc làm chính thức); (2) phụ thuộc 4 nguồn ngoại sinh — nông nghiệp tự cấp + ODA 30% GDP + remittances 25-40% GDP + khai thác tài nguyên; (3) thanh niên thất nghiệp 15-30% + dân số &lt;25 tuổi &gt;50%; (4) migration labor PLMS Australia + RSE New Zealand như channel sinh tồn (Vanuatu RSE 15-20% GDP). Liên kết: Fiji website 74,8% &gt; Singapore (PLMS+remittance corridors); Kiribati 18,7% (outer islands no internet); SIDS innovation 41,5% (bricolage Baker &amp; Nelson 2005). CĐ2: 3 control variables PICs-specific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97"/>
    <w:bookmarkEnd w:id="98"/>
    <w:bookmarkStart w:id="99" w:name="X1ede22618fb0a38726afe97b488a4bdefe47d72"/>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 (v3.1)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99"/>
    <w:bookmarkEnd w:id="100"/>
    <w:bookmarkStart w:id="103" w:name="chương-6--các-yếu-tố-giải-thích-sơ-bộ"/>
    <w:p>
      <w:pPr>
        <w:pStyle w:val="Heading2"/>
      </w:pPr>
      <w:r>
        <w:t xml:space="preserve">CHƯƠNG 6 — CÁC YẾU TỐ GIẢI THÍCH SƠ BỘ</w:t>
      </w:r>
    </w:p>
    <w:p>
      <w:pPr>
        <w:pStyle w:val="FirstParagraph"/>
      </w:pPr>
      <w:r>
        <w:rPr>
          <w:bCs/>
          <w:b/>
        </w:rPr>
        <w:t xml:space="preserve">Bảng 6.1</w:t>
      </w:r>
      <w:r>
        <w:t xml:space="preserve">.</w:t>
      </w:r>
      <w:r>
        <w:t xml:space="preserve"> </w:t>
      </w:r>
      <w:r>
        <w:rPr>
          <w:iCs/>
          <w:i/>
        </w:rPr>
        <w:t xml:space="preserve">Hệ số tương quan Pearson (n=101.185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SIDS (+0,222); (2) FDI âm Advanced; (3) FSTS dương Advanced — Uppsala+OLI; (4) TCI dương SIDS+Advanced; (5) DAI âm Advanced — Tier-1 saturation; (6) Đảo dấu cross-regime — institutional moderation.</w:t>
      </w:r>
    </w:p>
    <w:p>
      <w:pPr>
        <w:pStyle w:val="BodyText"/>
      </w:pPr>
      <w:r>
        <w:rPr>
          <w:bCs/>
          <w:b/>
        </w:rPr>
        <w:t xml:space="preserve">Cảnh báo schema BREADY 2025 (v3.3)</w:t>
      </w:r>
      <w:r>
        <w:t xml:space="preserve">: bảng 6.1 có thể bị nhiễu schema effect — kiểm chứng qua "triple-defense" §4.11 file 15.</w:t>
      </w:r>
    </w:p>
    <w:p>
      <w:pPr>
        <w:pStyle w:val="BodyText"/>
      </w:pPr>
      <w:r>
        <w:rPr>
          <w:bCs/>
          <w:b/>
        </w:rPr>
        <w:t xml:space="preserve">Lý giải dị biệt cross-regime qua Xu (2024) de jure-de facto (v3.3)</w:t>
      </w:r>
      <w:r>
        <w:t xml:space="preserve">: gap formal-enforcement explains FDI sign reversal Emerging vs Advanced.</w:t>
      </w:r>
    </w:p>
    <w:p>
      <w:pPr>
        <w:pStyle w:val="BodyText"/>
      </w:pPr>
      <w:r>
        <w:rPr>
          <w:bCs/>
          <w:b/>
        </w:rPr>
        <w:t xml:space="preserve">Lý giải bổ sung — Institutional Transaction Costs xuyên quốc gia (TCE Coase-Williamson, mở rộng Banalieva &amp; Dhanaraj 2019)</w:t>
      </w:r>
      <w:r>
        <w:t xml:space="preserve">: Đối chiếu hai bản thảo P3 Singapore (Mar et al., 2026 —</w:t>
      </w:r>
      <w:r>
        <w:t xml:space="preserve"> </w:t>
      </w:r>
      <w:r>
        <w:rPr>
          <w:iCs/>
          <w:i/>
        </w:rPr>
        <w:t xml:space="preserve">MIR</w:t>
      </w:r>
      <w:r>
        <w:t xml:space="preserve">) + P4 Việt Nam (Đỗ &amp; Phan, 2026 —</w:t>
      </w:r>
      <w:r>
        <w:t xml:space="preserve"> </w:t>
      </w:r>
      <w:r>
        <w:rPr>
          <w:iCs/>
          <w:i/>
        </w:rPr>
        <w:t xml:space="preserve">APJM</w:t>
      </w:r>
      <w:r>
        <w:t xml:space="preserve">) cho thấy dị biệt cross-regime trong Bảng 6.1 không chỉ phản ánh chất lượng thể chế formal mà còn</w:t>
      </w:r>
      <w:r>
        <w:t xml:space="preserve"> </w:t>
      </w:r>
      <w:r>
        <w:rPr>
          <w:bCs/>
          <w:b/>
        </w:rPr>
        <w:t xml:space="preserve">chi phí giao dịch thể chế (institutional transaction costs)</w:t>
      </w:r>
      <w:r>
        <w:t xml:space="preserve"> </w:t>
      </w:r>
      <w:r>
        <w:t xml:space="preserve">đo lường hạ tầng thương mại + logistics + năng lực hấp thụ chi phí điều phối xuyên biên giới (cross-border coordination cost absorption). Khung CDCM (§2.7 file 14 v3.13) hợp nhất 3 chiều xuyên quốc gia:</w:t>
      </w:r>
    </w:p>
    <w:p>
      <w:pPr>
        <w:pStyle w:val="BodyText"/>
      </w:pPr>
      <w:r>
        <w:rPr>
          <w:bCs/>
          <w:b/>
        </w:rPr>
        <w:t xml:space="preserve">Bảng 6.1.2</w:t>
      </w:r>
      <w:r>
        <w:t xml:space="preserve">.</w:t>
      </w:r>
      <w:r>
        <w:t xml:space="preserve"> </w:t>
      </w:r>
      <w:r>
        <w:rPr>
          <w:iCs/>
          <w:i/>
        </w:rPr>
        <w:t xml:space="preserve">Đối chiếu I-P curve + cơ chế DAI/TCI giữa Việt Nam vs Singapore — bằng chứng cho khung CDCM.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 null 2015 → âm 2023 (β=-0,912, p=,043) ở DAI×FSTS →</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w:t>
            </w:r>
            <w:r>
              <w:t xml:space="preserve"> </w:t>
            </w:r>
            <w:r>
              <w:rPr>
                <w:bCs/>
                <w:b/>
              </w:rPr>
              <w:t xml:space="preserve">không xác lập nhân quả</w:t>
            </w:r>
            <w:r>
              <w:t xml:space="preserve"> </w:t>
            </w:r>
            <w:r>
              <w:t xml:space="preserve">(Đỗ &amp; Phan, 2026 —</w:t>
            </w:r>
            <w:r>
              <w:t xml:space="preserve"> </w:t>
            </w:r>
            <w:r>
              <w:rPr>
                <w:iCs/>
                <w:i/>
              </w:rPr>
              <w:t xml:space="preserve">APJM</w:t>
            </w:r>
            <w:r>
              <w:t xml:space="preserve">)</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(Tier 1 only) khiến chi phí điều phối xuyên biên giới (cross-border coordination cost) tăng vọt theo siêu tuyến tính (super-linearly — Brynjolfsson &amp; McAfee, 2014) ở mức xuất khẩu trung bình → đẩy điểm uốn (TP) về vùng FSTS thấp 39-46%. Ở Singapore, hạ tầng số (Tier 1+2: website + e-payment + integrated logistics) đã hấp thụ phần lớn chi phí này → đẩy ranh giới quá tải (overload boundary) về vùng FSTS cực cao ~82%. Vì vậy</w:t>
      </w:r>
      <w:r>
        <w:t xml:space="preserve"> </w:t>
      </w:r>
      <w:r>
        <w:rPr>
          <w:bCs/>
          <w:b/>
        </w:rPr>
        <w:t xml:space="preserve">bằng chứng "đường cong U ngược nghẹt thở" của Lu &amp; Beamish (2004) chỉ vận hành ở các nước có institutional transaction costs trung bình-cao</w:t>
      </w:r>
      <w:r>
        <w:t xml:space="preserve"> </w:t>
      </w:r>
      <w:r>
        <w:t xml:space="preserve">— nơi chi phí điều phối phi tuyến đủ tạo turnaround point trong vùng FSTS observed; ở các nước có hạ tầng số trưởng thành, U-curve được "kéo dãn" 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dự đoán trong CĐ2 + luận án 5 chương: (a)</w:t>
      </w:r>
      <w:r>
        <w:t xml:space="preserve"> </w:t>
      </w:r>
      <w:r>
        <w:rPr>
          <w:bCs/>
          <w:b/>
        </w:rPr>
        <w:t xml:space="preserve">41 nước châu Á</w:t>
      </w:r>
      <w:r>
        <w:t xml:space="preserve"> </w:t>
      </w:r>
      <w:r>
        <w:t xml:space="preserve">sẽ có một continuum institutional transaction costs từ Singapore (cực thấp) → Việt Nam/Indonesia (trung bình) → Mongolia/Pakistan/Bangladesh (cao); (b) Điểm uốn TP của I-P curve sẽ correlate ngược với mức trưởng thành hạ tầng số quốc gia (đo qua DAI Tier 1+2 trung bình quốc gia); (c) Vai trò TCI sẽ chuyển từ scarce advantage (ở các nước transaction cost cao) sang hygiene factor (ở các nước transaction cost thấp) — confirm giả thuyết H7 (industry × institutional dynamism interaction) của Kafouros et al. (2023). Đây là</w:t>
      </w:r>
      <w:r>
        <w:t xml:space="preserve"> </w:t>
      </w:r>
      <w:r>
        <w:rPr>
          <w:bCs/>
          <w:b/>
        </w:rPr>
        <w:t xml:space="preserve">đóng góp lý thuyết MỚI</w:t>
      </w:r>
      <w:r>
        <w:t xml:space="preserve"> </w:t>
      </w:r>
      <w:r>
        <w:t xml:space="preserve">cho luận án — replication CDCM xuyên 41 nước châu Á.</w:t>
      </w:r>
    </w:p>
    <w:p>
      <w:pPr>
        <w:pStyle w:val="BodyText"/>
      </w:pPr>
      <w:r>
        <w:rPr>
          <w:bCs/>
          <w:b/>
        </w:rPr>
        <w:t xml:space="preserve">Tham chiếu</w:t>
      </w:r>
      <w:r>
        <w:t xml:space="preserve">: Coase (1937); Williamson (1985); Brynjolfsson &amp; McAfee (2014); Banalieva &amp; Dhanaraj (2019); Kafouros et al. (2023);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APJM</w:t>
      </w:r>
      <w:r>
        <w:t xml:space="preserve">); §2.7 file 14 v3.13 (Khung 4-Tier Verhoef + CDCM).</w:t>
      </w:r>
    </w:p>
    <w:p>
      <w:pPr>
        <w:pStyle w:val="BodyText"/>
      </w:pPr>
      <w:r>
        <w:rPr>
          <w:bCs/>
          <w:b/>
        </w:rPr>
        <w:t xml:space="preserve">Hiệu ứng đẩy nhanh giao hàng + bất định chính sách thuế quan trong khung ICRV (front-loading effect + tariff uncertainty)</w:t>
      </w:r>
      <w:r>
        <w:t xml:space="preserve">: Theo phân tích nội bộ, bất định chính sách thuế quan Mỹ 2026 (xem §1.1 file 14 v3.11 Lớp 7) tạo</w:t>
      </w:r>
      <w:r>
        <w:t xml:space="preserve"> </w:t>
      </w:r>
      <w:r>
        <w:rPr>
          <w:bCs/>
          <w:b/>
        </w:rPr>
        <w:t xml:space="preserve">hiệu ứng đẩy nhanh giao hàng (front-loading effect)</w:t>
      </w:r>
      <w:r>
        <w:t xml:space="preserve"> </w:t>
      </w:r>
      <w:r>
        <w:t xml:space="preserve">— doanh nghiệp xuất khẩu Việt Nam đẩy nhanh giao hàng ngắn hạn nhằm tận dụng cửa sổ thuế thấp 10% trước khi tăng lên 15% trong nửa cuối 2026. Hậu quả: doanh thu xuất khẩu tăng ngắn hạn 2025 (đóng góp vào GDP 8,0%) nhưng làm giảm đà tăng trưởng 2026-2027 do hợp đồng tương lai bị "ăn trước". Trong khung ICRV, đẩy nhanh giao hàng + bất định chính sách hoạt động như</w:t>
      </w:r>
      <w:r>
        <w:t xml:space="preserve"> </w:t>
      </w:r>
      <w:r>
        <w:rPr>
          <w:bCs/>
          <w:b/>
        </w:rPr>
        <w:t xml:space="preserve">cú sốc ngoại sinh (exogenous shock)</w:t>
      </w:r>
      <w:r>
        <w:t xml:space="preserve"> </w:t>
      </w:r>
      <w:r>
        <w:t xml:space="preserve">đảo dấu hệ số FSTS giữa hai nhóm: (a)</w:t>
      </w:r>
      <w:r>
        <w:t xml:space="preserve"> </w:t>
      </w:r>
      <w:r>
        <w:rPr>
          <w:bCs/>
          <w:b/>
        </w:rPr>
        <w:t xml:space="preserve">Emerging năng lực FDI cao</w:t>
      </w:r>
      <w:r>
        <w:t xml:space="preserve"> </w:t>
      </w:r>
      <w:r>
        <w:t xml:space="preserve">(Việt Nam doanh nghiệp FDI sản xuất chế biến) — có khả năng đẩy nhanh + phòng ngừa rủi ro tốt → FSTS-năng suất tương quan dương mạnh ngắn hạn 2025 → đảo chiều âm 2026-2027 do</w:t>
      </w:r>
      <w:r>
        <w:t xml:space="preserve"> </w:t>
      </w:r>
      <w:r>
        <w:rPr>
          <w:bCs/>
          <w:b/>
        </w:rPr>
        <w:t xml:space="preserve">cạn kiệt đơn hàng tương lai (exhaustion of forward orders)</w:t>
      </w:r>
      <w:r>
        <w:t xml:space="preserve">; (b)</w:t>
      </w:r>
      <w:r>
        <w:t xml:space="preserve"> </w:t>
      </w:r>
      <w:r>
        <w:rPr>
          <w:bCs/>
          <w:b/>
        </w:rPr>
        <w:t xml:space="preserve">Emerging năng lực FDI thấp</w:t>
      </w:r>
      <w:r>
        <w:t xml:space="preserve"> </w:t>
      </w:r>
      <w:r>
        <w:t xml:space="preserve">(doanh nghiệp nội địa SME không có</w:t>
      </w:r>
      <w:r>
        <w:t xml:space="preserve"> </w:t>
      </w:r>
      <w:r>
        <w:rPr>
          <w:bCs/>
          <w:b/>
        </w:rPr>
        <w:t xml:space="preserve">tồn kho dự phòng (buffer inventory)</w:t>
      </w:r>
      <w:r>
        <w:t xml:space="preserve">) — không thể đẩy nhanh → FSTS-năng suất tương quan yếu hoặc âm cả 2 giai đoạn.</w:t>
      </w:r>
      <w:r>
        <w:t xml:space="preserve"> </w:t>
      </w:r>
      <w:r>
        <w:rPr>
          <w:bCs/>
          <w:b/>
        </w:rPr>
        <w:t xml:space="preserve">Phân hóa lớn vs SME</w:t>
      </w:r>
      <w:r>
        <w:t xml:space="preserve">: tập đoàn lớn hấp thụ chi phí thuế quan qua đa thị trường + phòng ngừa tài chính (financial hedging); SME phải lựa chọn hấp thụ chi phí (giảm biên lợi nhuận) vs chuyển giá khách hàng (mất đơn hàng). Hàm ý CĐ2: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 thời điểm giao hàng quý 1-2 2026) vào kiểm định độ vững (robustness check) #8 (đẩy nhanh giao hàng được hiệu chỉnh — front-loading-adjusted re-estimation).</w:t>
      </w:r>
    </w:p>
    <w:bookmarkStart w:id="101" w:name="X5ecd37fe01a045571df9cbb12094eb6d4cc7171"/>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 phân tầng theo khu vực địa lý.</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 Asian gender paradox</w:t>
      </w:r>
      <w:r>
        <w:t xml:space="preserve">: EAP 33,4% nữ TMT cao nhất toàn cầu trong khi South Asia và MENA thấp nhất — phản ánh dị biệt thể chế-văn hóa xuyên "châu Á" không đồng nhất; (b)</w:t>
      </w:r>
      <w:r>
        <w:t xml:space="preserve"> </w:t>
      </w:r>
      <w:r>
        <w:rPr>
          <w:bCs/>
          <w:b/>
        </w:rPr>
        <w:t xml:space="preserve">MENA thấp nhất — structural barriers</w:t>
      </w:r>
      <w:r>
        <w:t xml:space="preserve">: MENA 3,3% nữ TMT + 1,7% nữ ownership — thấp nhất toàn cầu, phản ánh rào cản thể chế-luật pháp đặc thù (World Bank, 2024 —</w:t>
      </w:r>
      <w:r>
        <w:t xml:space="preserve"> </w:t>
      </w:r>
      <w:r>
        <w:rPr>
          <w:iCs/>
          <w:i/>
        </w:rPr>
        <w:t xml:space="preserve">Women, Business and the Law</w:t>
      </w:r>
      <w:r>
        <w:t xml:space="preserve">); (c)</w:t>
      </w:r>
      <w:r>
        <w:t xml:space="preserve"> </w:t>
      </w:r>
      <w:r>
        <w:rPr>
          <w:bCs/>
          <w:b/>
        </w:rPr>
        <w:t xml:space="preserve">Ownership ceiling phổ biến</w:t>
      </w:r>
      <w:r>
        <w:t xml:space="preserve">: 43/50 economies có ownership ceiling cao hơn management representation — gợi ý barrier đặc thù ở cấp sở hữu vốn (equity ownership) so với vị trí quản lý; (d)</w:t>
      </w:r>
      <w:r>
        <w:t xml:space="preserve"> </w:t>
      </w:r>
      <w:r>
        <w:rPr>
          <w:bCs/>
          <w:b/>
        </w:rPr>
        <w:t xml:space="preserve">Boundary references TMT moderation</w:t>
      </w:r>
      <w:r>
        <w:t xml:space="preserve">: Mardones-Ibáñez (2025 —</w:t>
      </w:r>
      <w:r>
        <w:t xml:space="preserve"> </w:t>
      </w:r>
      <w:r>
        <w:rPr>
          <w:iCs/>
          <w:i/>
        </w:rPr>
        <w:t xml:space="preserve">SAGE Open</w:t>
      </w:r>
      <w:r>
        <w:t xml:space="preserve">) Chile context + Al-Najjar et al. (2025 —</w:t>
      </w:r>
      <w:r>
        <w:t xml:space="preserve"> </w:t>
      </w:r>
      <w:r>
        <w:rPr>
          <w:iCs/>
          <w:i/>
        </w:rPr>
        <w:t xml:space="preserve">IJHRM</w:t>
      </w:r>
      <w:r>
        <w:t xml:space="preserve">) S&amp;P 500 U-shaped TMT gender effect — không suy rộng trực tiếp sang ICRV Emerging/Frontier; (e)</w:t>
      </w:r>
      <w:r>
        <w:t xml:space="preserve"> </w:t>
      </w:r>
      <w:r>
        <w:rPr>
          <w:bCs/>
          <w:b/>
        </w:rPr>
        <w:t xml:space="preserve">Technology complement hypothesis</w:t>
      </w:r>
      <w:r>
        <w:t xml:space="preserve"> </w:t>
      </w:r>
      <w:r>
        <w:t xml:space="preserve">(Carboni et al., WBES 192K obs, 158 nước, 2006–2023): female top manager (</w:t>
      </w:r>
      <w:r>
        <w:rPr>
          <w:rStyle w:val="VerbatimChar"/>
        </w:rPr>
        <w:t xml:space="preserve">b7a</w:t>
      </w:r>
      <w:r>
        <w:t xml:space="preserve">) tương tác với technology adoption — tác động ESG-performance mạnh hơn khi doanh nghiệp có DAI cao; (f)</w:t>
      </w:r>
      <w:r>
        <w:t xml:space="preserve"> </w:t>
      </w:r>
      <w:r>
        <w:rPr>
          <w:bCs/>
          <w:b/>
        </w:rPr>
        <w:t xml:space="preserve">Firm performance heterogeneity</w:t>
      </w:r>
      <w:r>
        <w:t xml:space="preserve"> </w:t>
      </w:r>
      <w:r>
        <w:t xml:space="preserve">(World Bank, 2024 —</w:t>
      </w:r>
      <w:r>
        <w:t xml:space="preserve"> </w:t>
      </w:r>
      <w:r>
        <w:rPr>
          <w:iCs/>
          <w:i/>
        </w:rPr>
        <w:t xml:space="preserve">Unlocking Global Growth: Closing the Gender Gap in Business</w:t>
      </w:r>
      <w:r>
        <w:t xml:space="preserve">): doanh nghiệp có nữ sở hữu đa số có doanh thu/nhân viên thấp hơn trung bình nhưng tốc độ tăng trưởng việc làm cao hơn ở nhóm Frontier/Emerging — pattern phù hợp §4.3 CAGR việc làm SIDS cao nhất (5,77%).</w:t>
      </w:r>
    </w:p>
    <w:p>
      <w:pPr>
        <w:pStyle w:val="BodyText"/>
      </w:pPr>
      <w:r>
        <w:rPr>
          <w:bCs/>
          <w:b/>
        </w:rPr>
        <w:t xml:space="preserve">Liên kết với §4.5.6</w:t>
      </w:r>
      <w:r>
        <w:t xml:space="preserve">: Chi tiết phân tầng female top manager theo ICRV sub-regime và hàm ý biến</w:t>
      </w:r>
      <w:r>
        <w:t xml:space="preserve"> </w:t>
      </w:r>
      <w:r>
        <w:rPr>
          <w:rStyle w:val="VerbatimChar"/>
        </w:rPr>
        <w:t xml:space="preserve">b7a</w:t>
      </w:r>
      <w:r>
        <w:t xml:space="preserve"> </w:t>
      </w:r>
      <w:r>
        <w:t xml:space="preserve">trong CĐ2 specification xem §4.5.6 file 15.</w:t>
      </w:r>
    </w:p>
    <w:p>
      <w:pPr>
        <w:pStyle w:val="BodyText"/>
      </w:pPr>
      <w:r>
        <w:rPr>
          <w:bCs/>
          <w:b/>
        </w:rPr>
        <w:t xml:space="preserve">Nguồn</w:t>
      </w:r>
      <w:r>
        <w:t xml:space="preserve">: Carboni et al. (2024/2025 — WBES ESG indicators); World Bank (2024)</w:t>
      </w:r>
      <w:r>
        <w:t xml:space="preserve"> </w:t>
      </w:r>
      <w:r>
        <w:rPr>
          <w:iCs/>
          <w:i/>
        </w:rPr>
        <w:t xml:space="preserve">Unlocking Global Growth: Closing the Gender Gap in Business</w:t>
      </w:r>
      <w:r>
        <w:t xml:space="preserve"> </w:t>
      </w:r>
      <w:r>
        <w:t xml:space="preserve">(WBES 167 nền kinh tế); Mardones-Ibáñez (2025 —</w:t>
      </w:r>
      <w:r>
        <w:t xml:space="preserve"> </w:t>
      </w:r>
      <w:r>
        <w:rPr>
          <w:iCs/>
          <w:i/>
        </w:rPr>
        <w:t xml:space="preserve">SAGE Open</w:t>
      </w:r>
      <w:r>
        <w:t xml:space="preserve">); Al-Najjar et al. (2025 —</w:t>
      </w:r>
      <w:r>
        <w:t xml:space="preserve"> </w:t>
      </w:r>
      <w:r>
        <w:rPr>
          <w:iCs/>
          <w:i/>
        </w:rPr>
        <w:t xml:space="preserve">IJHRM</w:t>
      </w:r>
      <w:r>
        <w:t xml:space="preserve">).</w:t>
      </w:r>
    </w:p>
    <w:bookmarkEnd w:id="101"/>
    <w:bookmarkStart w:id="102" w:name="X1b56fac4273b6465f76cf1f0e9b553e4ef46776"/>
    <w:p>
      <w:pPr>
        <w:pStyle w:val="Heading3"/>
      </w:pPr>
      <w:r>
        <w:t xml:space="preserve">6.2 Đường cong U của innovation digital tech</w:t>
      </w:r>
    </w:p>
    <w:p>
      <w:pPr>
        <w:pStyle w:val="FirstParagraph"/>
      </w:pPr>
      <w:r>
        <w:rPr>
          <w:bCs/>
          <w:b/>
        </w:rPr>
        <w:t xml:space="preserve">Giai đoạn 1 (chi phí đầu tư cao)</w:t>
      </w:r>
      <w:r>
        <w:t xml:space="preserve">: 1-3 năm đầu, giảm hiệu quả tài chính ngắn hạn — phù hợp DAI âm -0,129 Advanced + "digital theatre" (Verhoef et al., 2021).</w:t>
      </w:r>
      <w:r>
        <w:t xml:space="preserve"> </w:t>
      </w:r>
      <w:r>
        <w:rPr>
          <w:bCs/>
          <w:b/>
        </w:rPr>
        <w:t xml:space="preserve">Giai đoạn 2 (productivity payoff)</w:t>
      </w:r>
      <w:r>
        <w:t xml:space="preserve">: vượt threshold ~3% revenue/năm × 3-5 năm sustained → tăng năng suất + cạnh tranh quốc tế + profit margin. Liên kết Tier-1/Tier-2 §4.4.5 file 15. Bằng chứng: Trung Quốc R&amp;D 39,4% late-stage Tier-2; Vùng Vịnh transition phase; Việt Nam R&amp;D 6,1% early Tier-2.</w:t>
      </w:r>
    </w:p>
    <w:p>
      <w:r>
        <w:pict>
          <v:rect style="width:0;height:1.5pt" o:hralign="center" o:hrstd="t" o:hr="t"/>
        </w:pict>
      </w:r>
    </w:p>
    <w:bookmarkEnd w:id="102"/>
    <w:bookmarkEnd w:id="103"/>
    <w:bookmarkStart w:id="113" w:name="Xad4a10f3b5c102b12ac4ecd8a32a2224cd17f3d"/>
    <w:p>
      <w:pPr>
        <w:pStyle w:val="Heading2"/>
      </w:pPr>
      <w:r>
        <w:t xml:space="preserve">CHƯƠNG 7 — KHOẢNG TRỐNG THỰC TIỄN VÀ KẾT LUẬN</w:t>
      </w:r>
    </w:p>
    <w:bookmarkStart w:id="104" w:name="X21ea6aa4d9235e39e00f9f84ae38ff02447338c"/>
    <w:p>
      <w:pPr>
        <w:pStyle w:val="Heading3"/>
      </w:pPr>
      <w:r>
        <w:t xml:space="preserve">7.1 Khoảng trống nghiên cứu thực tiễn</w:t>
      </w:r>
    </w:p>
    <w:p>
      <w:pPr>
        <w:pStyle w:val="FirstParagraph"/>
      </w:pPr>
      <w:r>
        <w:t xml:space="preserve">Năm khoảng trống chưa được lấp đầy trong văn liệu:</w:t>
      </w:r>
    </w:p>
    <w:p>
      <w:pPr>
        <w:pStyle w:val="BodyText"/>
      </w:pPr>
      <w:r>
        <w:rPr>
          <w:bCs/>
          <w:b/>
        </w:rPr>
        <w:t xml:space="preserve">KT1 — Three-way moderation TCI×DAI×FSTS chưa được kiểm định đồng thời trên mẫu liên quốc gia</w:t>
      </w:r>
      <w:r>
        <w:t xml:space="preserve">: P3/P4/P5 kiểm định từng cặp điều tiết riêng biệt. Mô hình M7 CĐ2 sẽ lấp khoảng trống này với 108 cặp quốc gia–năm.</w:t>
      </w:r>
    </w:p>
    <w:p>
      <w:pPr>
        <w:pStyle w:val="BodyText"/>
      </w:pPr>
      <w:r>
        <w:rPr>
          <w:bCs/>
          <w:b/>
        </w:rPr>
        <w:t xml:space="preserve">KT2 — Phân nhóm con Advanced: innovation-driven vs resource-driven chưa được hệ thống hóa</w:t>
      </w:r>
      <w:r>
        <w:t xml:space="preserve">: Nghiên cứu hiện hành (Bausch &amp; Krist, 2007; Kirca et al., 2012) gộp tất cả OECD vào "developed". Bằng chứng Singapore vs Saudi/Qatar/Kuwait cho thấy hai sub-group có pattern hoàn toàn khác nhau.</w:t>
      </w:r>
    </w:p>
    <w:p>
      <w:pPr>
        <w:pStyle w:val="BodyText"/>
      </w:pPr>
      <w:r>
        <w:rPr>
          <w:bCs/>
          <w:b/>
        </w:rPr>
        <w:t xml:space="preserve">KT3 — Xác nhận nhân quả Digital Saturation Paradox qua IV estimation</w:t>
      </w:r>
      <w:r>
        <w:t xml:space="preserve">: Hệ số DAI âm (−0,129) có thể phản ánh: (a) true saturation; (b) reverse causality; (c) omitted variable bias. IV instrument hợp lệ (broadband coverage) cần thiết để phân biệt.</w:t>
      </w:r>
    </w:p>
    <w:p>
      <w:pPr>
        <w:pStyle w:val="BodyText"/>
      </w:pPr>
      <w:r>
        <w:rPr>
          <w:bCs/>
          <w:b/>
        </w:rPr>
        <w:t xml:space="preserve">KT4 — Temporal heterogeneity ba giai đoạn 2009–2025 chưa được meta-analyzed</w:t>
      </w:r>
      <w:r>
        <w:t xml:space="preserve">: Bằng chứng P3 (Paternoster z = 3,353, p &lt; 0,001) và P5 (TCI Paternoster p = 0,011) cho thấy parameter instability quan trọng.</w:t>
      </w:r>
    </w:p>
    <w:p>
      <w:pPr>
        <w:pStyle w:val="BodyText"/>
      </w:pPr>
      <w:r>
        <w:rPr>
          <w:bCs/>
          <w:b/>
        </w:rPr>
        <w:t xml:space="preserve">KT5 — SIDS Pacific như trường hợp biên lý thuyết của thuyết Uppsala</w:t>
      </w:r>
      <w:r>
        <w:t xml:space="preserve">: Forced internationalization penalty tại 7 SIDS không khớp với bất kỳ dạng hàm I–P trong văn liệu. Cần khung kết hợp MIRAB + Briguglio (1995) + RBV.</w:t>
      </w:r>
    </w:p>
    <w:bookmarkEnd w:id="104"/>
    <w:bookmarkStart w:id="105" w:name="X1157b285259601cd085b7a8fe8610f7b68ee836"/>
    <w:p>
      <w:pPr>
        <w:pStyle w:val="Heading3"/>
      </w:pPr>
      <w:r>
        <w:t xml:space="preserve">7.2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w:t>
      </w:r>
      <w:r>
        <w:t xml:space="preserve"> </w:t>
      </w:r>
      <w:r>
        <w:t xml:space="preserve">— Phi tuyến xuyên chế độ thể chế là quy luật: Inverted-U tại Emerging (Việt Nam TP 39–46%; Trung Quốc TP 47–49%); gần tuyến tính tại Advanced (Singapore TP 88,6%); forced penalty tại SIDS.</w:t>
      </w:r>
    </w:p>
    <w:p>
      <w:pPr>
        <w:pStyle w:val="BodyText"/>
      </w:pPr>
      <w:r>
        <w:rPr>
          <w:bCs/>
          <w:b/>
        </w:rPr>
        <w:t xml:space="preserve">KL2</w:t>
      </w:r>
      <w:r>
        <w:t xml:space="preserve"> </w:t>
      </w:r>
      <w:r>
        <w:t xml:space="preserve">— TCI là level-shifter phổ quát, DAI là context-contingent amplifier: TCI dương ở mọi nhóm; DAI đổi dấu theo ICRV regime — đây là nội hàm cốt lõi của CDCM.</w:t>
      </w:r>
    </w:p>
    <w:p>
      <w:pPr>
        <w:pStyle w:val="BodyText"/>
      </w:pPr>
      <w:r>
        <w:rPr>
          <w:bCs/>
          <w:b/>
        </w:rPr>
        <w:t xml:space="preserve">KL3</w:t>
      </w:r>
      <w:r>
        <w:t xml:space="preserve"> </w:t>
      </w:r>
      <w:r>
        <w:t xml:space="preserve">— Digital Saturation Paradox là cơ chế đo lường, không phải thất bại thị trường: DAI âm tại Advanced là artifact của Tier-1 measurement trong bối cảnh Tier-2/3 đã được áp dụng.</w:t>
      </w:r>
    </w:p>
    <w:p>
      <w:pPr>
        <w:pStyle w:val="BodyText"/>
      </w:pPr>
      <w:r>
        <w:rPr>
          <w:bCs/>
          <w:b/>
        </w:rPr>
        <w:t xml:space="preserve">KL4</w:t>
      </w:r>
      <w:r>
        <w:t xml:space="preserve"> </w:t>
      </w:r>
      <w:r>
        <w:t xml:space="preserve">— Thể chế là moderator, không phải mediator: de jure–de facto gap (Xu, 2024) giải thích đảo dấu FDI cross-regime. Chính sách nâng cao thể chế hiệu quả nhất khi song hành với nâng cấp TCI và DAI.</w:t>
      </w:r>
    </w:p>
    <w:p>
      <w:pPr>
        <w:pStyle w:val="BodyText"/>
      </w:pPr>
      <w:r>
        <w:rPr>
          <w:bCs/>
          <w:b/>
        </w:rPr>
        <w:t xml:space="preserve">KL5</w:t>
      </w:r>
      <w:r>
        <w:t xml:space="preserve"> </w:t>
      </w:r>
      <w:r>
        <w:t xml:space="preserve">— Temporal heterogeneity ba giai đoạn là thực tế cấu trúc: DAI effect mạnh hơn trong BREADY (sau COVID-19 digital acceleration). Triple-defense system đảm bảo kết luận không bị nhiễu schema.</w:t>
      </w:r>
    </w:p>
    <w:p>
      <w:pPr>
        <w:pStyle w:val="BodyText"/>
      </w:pPr>
      <w:r>
        <w:rPr>
          <w:bCs/>
          <w:b/>
        </w:rPr>
        <w:t xml:space="preserve">KL6</w:t>
      </w:r>
      <w:r>
        <w:t xml:space="preserve"> </w:t>
      </w:r>
      <w:r>
        <w:t xml:space="preserve">— EAP dẫn đầu toàn cầu về nữ quản lý cấp cao (33,4%) nhưng khoảng cách sở hữu dai dẳng: Glass ceiling ở lớp sở hữu chưa được phá vỡ dù management ceiling đang thu hẹp.</w:t>
      </w:r>
    </w:p>
    <w:p>
      <w:pPr>
        <w:pStyle w:val="BodyText"/>
      </w:pPr>
      <w:r>
        <w:rPr>
          <w:bCs/>
          <w:b/>
        </w:rPr>
        <w:t xml:space="preserve">KL7</w:t>
      </w:r>
      <w:r>
        <w:t xml:space="preserve"> </w:t>
      </w:r>
      <w:r>
        <w:t xml:space="preserve">— SIDS Pacific là trường hợp biên lý thuyết với forced internationalization penalty: FDI (+0,222) là nguồn năng suất chủ đạo; FSTS âm. MIRAB model phù hợp hơn Uppsala.</w:t>
      </w:r>
    </w:p>
    <w:p>
      <w:pPr>
        <w:pStyle w:val="BodyText"/>
      </w:pPr>
      <w:r>
        <w:rPr>
          <w:bCs/>
          <w:b/>
        </w:rPr>
        <w:t xml:space="preserve">KL8</w:t>
      </w:r>
      <w:r>
        <w:t xml:space="preserve"> </w:t>
      </w:r>
      <w:r>
        <w:t xml:space="preserve">— Phân nhóm con Advanced là cần thiết cho phân tích IB châu Á: Singapore và Saudi/Qatar/Kuwait cùng nhãn "Advanced" nhưng pattern năng suất doanh nghiệp hoàn toàn khác nhau.</w:t>
      </w:r>
    </w:p>
    <w:bookmarkEnd w:id="105"/>
    <w:bookmarkStart w:id="110" w:name="X3dc6e420ac65643befd1a334befa22bccbc3afd"/>
    <w:p>
      <w:pPr>
        <w:pStyle w:val="Heading3"/>
      </w:pPr>
      <w:r>
        <w:t xml:space="preserve">7.3 Hàm ý cho luận án, chính sách và Chuyên đề 2</w:t>
      </w:r>
    </w:p>
    <w:bookmarkStart w:id="106" w:name="X8081d3c735c0a55e667e77b249ac7465d9a9cc2"/>
    <w:p>
      <w:pPr>
        <w:pStyle w:val="Heading4"/>
      </w:pPr>
      <w:r>
        <w:t xml:space="preserve">7.3.1 Hàm ý lý thuyết</w:t>
      </w:r>
    </w:p>
    <w:p>
      <w:pPr>
        <w:pStyle w:val="FirstParagraph"/>
      </w:pPr>
      <w:r>
        <w:rPr>
          <w:bCs/>
          <w:b/>
        </w:rPr>
        <w:t xml:space="preserve">(1) Uppsala có điều kiện — không phổ quát</w:t>
      </w:r>
      <w:r>
        <w:t xml:space="preserve">: FSTS dương tại Advanced, không có ý nghĩa tại Frontier xác nhận boundary condition: lý thuyết Uppsala vận hành chỉ trong môi trường thể chế đủ mạnh (Williamson, 1985).</w:t>
      </w:r>
    </w:p>
    <w:p>
      <w:pPr>
        <w:pStyle w:val="BodyText"/>
      </w:pPr>
      <w:r>
        <w:rPr>
          <w:bCs/>
          <w:b/>
        </w:rPr>
        <w:t xml:space="preserve">(2) CDCM như khung lý thuyết tích hợp mới cho IB digital era</w:t>
      </w:r>
      <w:r>
        <w:t xml:space="preserve">: Phần bù năng suất của digital adoption là hàm của (i) mức độ phát triển thể chế, (ii) vị trí trên đường cong I–P, (iii) tier của digital capability được đo lường. Ba điều kiện tương tác phi tuyến — advance so với "digital premium" đồng nhất (Verhoef et al., 2021).</w:t>
      </w:r>
    </w:p>
    <w:p>
      <w:pPr>
        <w:pStyle w:val="BodyText"/>
      </w:pPr>
      <w:r>
        <w:rPr>
          <w:bCs/>
          <w:b/>
        </w:rPr>
        <w:t xml:space="preserve">(3) Advanced Innovation-Performance Interface (AIPI)</w:t>
      </w:r>
      <w:r>
        <w:t xml:space="preserve">: FSTS²×DAI = +3,119 tại Singapore gợi ý cơ chế mới: tại FSTS cao, doanh nghiệp cần DAI như "phối hợp kỹ thuật số xuyên biên giới" để quản lý độ phức tạp GVC. Cần kiểm định tại Advanced khác (Hàn Quốc, Đài Loan).</w:t>
      </w:r>
    </w:p>
    <w:p>
      <w:pPr>
        <w:pStyle w:val="BodyText"/>
      </w:pPr>
      <w:r>
        <w:rPr>
          <w:bCs/>
          <w:b/>
        </w:rPr>
        <w:t xml:space="preserve">(4) Digital theatre là thực tế đo lường ở cả hai chiều</w:t>
      </w:r>
      <w:r>
        <w:t xml:space="preserve">: Tại Advanced, DAI Tier-1 là hygiene factor bão hòa (Verhoef et al., 2021). Tại Emerging, DAI Tier-1 có thể là proxy obsolescence — đo lường không còn chụp được cơ chế kinh tế thực.</w:t>
      </w:r>
    </w:p>
    <w:p>
      <w:pPr>
        <w:pStyle w:val="BodyText"/>
      </w:pPr>
      <w:r>
        <w:rPr>
          <w:bCs/>
          <w:b/>
        </w:rPr>
        <w:t xml:space="preserve">(5) Institutional context là contingency layer, không phải background factor</w:t>
      </w:r>
      <w:r>
        <w:t xml:space="preserve">: Đảo dấu cross-regime không phải noise mà là tín hiệu lý thuyết. Nghiên cứu IB tương lai nên kiểm định moderation effects theo ICRV regime trước khi báo cáo average effect size.</w:t>
      </w:r>
    </w:p>
    <w:bookmarkEnd w:id="106"/>
    <w:bookmarkStart w:id="107" w:name="Xd3dac3100593e3b84087319b7c0f402574c0a4f"/>
    <w:p>
      <w:pPr>
        <w:pStyle w:val="Heading4"/>
      </w:pPr>
      <w:r>
        <w:t xml:space="preserve">7.3.2 Hàm ý phương pháp luận</w:t>
      </w:r>
    </w:p>
    <w:p>
      <w:pPr>
        <w:pStyle w:val="FirstParagraph"/>
      </w:pPr>
      <w:r>
        <w:rPr>
          <w:bCs/>
          <w:b/>
        </w:rPr>
        <w:t xml:space="preserve">(1) Pooled cross-national WBES như data platform cho IB emerging markets</w:t>
      </w:r>
      <w:r>
        <w:t xml:space="preserve">: 101.185 doanh nghiệp từ 47 nền kinh tế là mẫu lớn nhất từ trước đến nay cho I–P analysis toàn diện tại châu Á–Thái Bình Dương.</w:t>
      </w:r>
    </w:p>
    <w:p>
      <w:pPr>
        <w:pStyle w:val="BodyText"/>
      </w:pPr>
      <w:r>
        <w:rPr>
          <w:bCs/>
          <w:b/>
        </w:rPr>
        <w:t xml:space="preserve">(2) Triple-defense system cho mixed-generation panel là đóng góp phương pháp luận</w:t>
      </w:r>
      <w:r>
        <w:t xml:space="preserve">: Ba tầng kiểm chứng — (3a) Post_BREADY_2024 dummy, (3b) anchor model stability test, (3c) independent post-pandemic panel — là giao thức có thể chuẩn hóa cho bất kỳ nghiên cứu dùng WBES với nhiều thế hệ schema.</w:t>
      </w:r>
    </w:p>
    <w:p>
      <w:pPr>
        <w:pStyle w:val="BodyText"/>
      </w:pPr>
      <w:r>
        <w:rPr>
          <w:bCs/>
          <w:b/>
        </w:rPr>
        <w:t xml:space="preserve">(3) Winsorization within country-year clusters tốt hơn overall winsorization</w:t>
      </w:r>
      <w:r>
        <w:t xml:space="preserve">: Overall winsorization bóp méo phân phối tại Frontier (sd log 2,18+). Within-cluster bảo tồn dị biệt cross-regime quan trọng về lý thuyết.</w:t>
      </w:r>
    </w:p>
    <w:p>
      <w:pPr>
        <w:pStyle w:val="BodyText"/>
      </w:pPr>
      <w:r>
        <w:rPr>
          <w:bCs/>
          <w:b/>
        </w:rPr>
        <w:t xml:space="preserve">(4) HC1 robust SE như chuẩn mực cho WBES multi-country regression</w:t>
      </w:r>
      <w:r>
        <w:t xml:space="preserve">: HC3 cần thiết cho subsample nhỏ (SIDS n &lt; 200). HC1 là cân bằng tốt giữa hiệu suất ước lượng và độ bền vững cho full sample.</w:t>
      </w:r>
    </w:p>
    <w:p>
      <w:pPr>
        <w:pStyle w:val="BodyText"/>
      </w:pPr>
      <w:r>
        <w:rPr>
          <w:bCs/>
          <w:b/>
        </w:rPr>
        <w:t xml:space="preserve">(5) Anchor model strategy bảo vệ inference khi schema chuyển đổi</w:t>
      </w:r>
      <w:r>
        <w:t xml:space="preserve">: 6 biến bất biến cross-schema (ln_employees, FSTS, ISO, innovate_product, website, ln_LP) cho phép so sánh hệ số cấu trúc giữa PICS3 và BREADY.</w:t>
      </w:r>
    </w:p>
    <w:bookmarkEnd w:id="107"/>
    <w:bookmarkStart w:id="108" w:name="X774b03f6d7798023c9d05bf30fcab70e45e52ea"/>
    <w:p>
      <w:pPr>
        <w:pStyle w:val="Heading4"/>
      </w:pPr>
      <w:r>
        <w:t xml:space="preserve">7.3.3 Hàm ý chính sách cho doanh nghiệp Việt Nam và khu vực châu Á</w:t>
      </w:r>
    </w:p>
    <w:p>
      <w:pPr>
        <w:pStyle w:val="FirstParagraph"/>
      </w:pPr>
      <w:r>
        <w:rPr>
          <w:bCs/>
          <w:b/>
        </w:rPr>
        <w:t xml:space="preserve">(1) Capability-first sequencing — nâng cấp TCI trước khi mở rộng FSTS</w:t>
      </w:r>
      <w:r>
        <w:t xml:space="preserve">: β TCI = 0,179 (IV-causal, P3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digital cho SME Việt Nam</w:t>
      </w:r>
      <w:r>
        <w:t xml:space="preserve">: Website 47% là điểm đầu vào; VietQR + TikTok Shop + Shopee Asia Pacific là Tier-1.5/Tier-2 thực tế hơn. AI Adoption Voucher (~50 triệu VND/firm) giúp vượt qua giai đoạn đầu tư ban đầu.</w:t>
      </w:r>
    </w:p>
    <w:p>
      <w:pPr>
        <w:pStyle w:val="BodyText"/>
      </w:pPr>
      <w:r>
        <w:rPr>
          <w:bCs/>
          <w:b/>
        </w:rPr>
        <w:t xml:space="preserve">(3) Phân biệt FDI chiến lược với FDI lắp ráp</w:t>
      </w:r>
      <w:r>
        <w:t xml:space="preserve">: FSTS suy giảm 23,2% → 16,1% phản ánh assembly FDI tăng nhưng giá trị gia tăng nội địa thấp. KPI cần theo dõi: tỷ lệ R&amp;D/revenue, tỷ lệ nhà cung cấp nội địa Tier-1, patent co-filed.</w:t>
      </w:r>
    </w:p>
    <w:p>
      <w:pPr>
        <w:pStyle w:val="BodyText"/>
      </w:pPr>
      <w:r>
        <w:rPr>
          <w:bCs/>
          <w:b/>
        </w:rPr>
        <w:t xml:space="preserve">(4) GVC repositioning: assembly downstream → mid-stream design/R&amp;D</w:t>
      </w:r>
      <w:r>
        <w:t xml:space="preserve">: Việt Nam ở turning point (TP 39–46%). Trung Quốc R&amp;D 39,4% và TP cao hơn (47–49%) cho thấy: TCI cao → TP cao → chịu đựng được mức độ QTH cao hơn.</w:t>
      </w:r>
    </w:p>
    <w:p>
      <w:pPr>
        <w:pStyle w:val="BodyText"/>
      </w:pPr>
      <w:r>
        <w:rPr>
          <w:bCs/>
          <w:b/>
        </w:rPr>
        <w:t xml:space="preserve">(5) ICRV-based Policy Learning Platform cho ASEAN</w:t>
      </w:r>
      <w:r>
        <w:t xml:space="preserve">: Trao đổi best practices giữa nền kinh tế cùng nhóm IV Emerging (Việt Nam, Indonesia, Philippines, Ấn Độ) thay vì học từ Singapore/Hàn Quốc (nhóm I — context khác biệt quá lớn).</w:t>
      </w:r>
    </w:p>
    <w:p>
      <w:pPr>
        <w:pStyle w:val="BodyText"/>
      </w:pPr>
      <w:r>
        <w:rPr>
          <w:bCs/>
          <w:b/>
        </w:rPr>
        <w:t xml:space="preserve">(6) Chính sách số hóa phân cấp theo vùng và quy mô</w:t>
      </w:r>
      <w:r>
        <w:t xml:space="preserve">: DAI effect phụ thuộc context — đầu tư website khác nhau tại TP.HCM (Tier-1.5) vs nông thôn đồng bằng sông Cửu Long (Tier-1 chưa bão hòa).</w:t>
      </w:r>
    </w:p>
    <w:p>
      <w:pPr>
        <w:pStyle w:val="BodyText"/>
      </w:pPr>
      <w:r>
        <w:rPr>
          <w:bCs/>
          <w:b/>
        </w:rPr>
        <w:t xml:space="preserve">(7) Migration labor partnership Pacific cho Việt Nam — bài học PLMS/RSE</w:t>
      </w:r>
    </w:p>
    <w:p>
      <w:pPr>
        <w:pStyle w:val="BodyText"/>
      </w:pPr>
      <w:r>
        <w:t xml:space="preserve">(a)</w:t>
      </w:r>
      <w:r>
        <w:t xml:space="preserve"> </w:t>
      </w:r>
      <w:r>
        <w:rPr>
          <w:bCs/>
          <w:b/>
        </w:rPr>
        <w:t xml:space="preserve">PLMS Australia</w:t>
      </w:r>
      <w:r>
        <w:t xml:space="preserve">: Học mô hình 30.000 lao động PICs/năm → triển khai Vietnamese Skilled Worker Mobility Scheme (nông nghiệp công nghệ cao + aged-care);</w:t>
      </w:r>
      <w:r>
        <w:t xml:space="preserve"> </w:t>
      </w:r>
      <w:r>
        <w:t xml:space="preserve">(b)</w:t>
      </w:r>
      <w:r>
        <w:t xml:space="preserve"> </w:t>
      </w:r>
      <w:r>
        <w:rPr>
          <w:bCs/>
          <w:b/>
        </w:rPr>
        <w:t xml:space="preserve">RSE New Zealand</w:t>
      </w:r>
      <w:r>
        <w:t xml:space="preserve">: Aquaculture + Coffee + Cashew Skills Exchange — tận dụng chuyên môn đặc thù Việt Nam;</w:t>
      </w:r>
      <w:r>
        <w:t xml:space="preserve"> </w:t>
      </w:r>
      <w:r>
        <w:t xml:space="preserve">(c)</w:t>
      </w:r>
      <w:r>
        <w:t xml:space="preserve"> </w:t>
      </w:r>
      <w:r>
        <w:rPr>
          <w:bCs/>
          <w:b/>
        </w:rPr>
        <w:t xml:space="preserve">Remittance corridor digital</w:t>
      </w:r>
      <w:r>
        <w:t xml:space="preserve">: Hợp tác Wise/MoMo giảm phí từ ~7% xuống &lt; 3%;</w:t>
      </w:r>
      <w:r>
        <w:t xml:space="preserve"> </w:t>
      </w:r>
      <w:r>
        <w:t xml:space="preserve">(d)</w:t>
      </w:r>
      <w:r>
        <w:t xml:space="preserve"> </w:t>
      </w:r>
      <w:r>
        <w:rPr>
          <w:bCs/>
          <w:b/>
        </w:rPr>
        <w:t xml:space="preserve">Skills upgrading theo Korea EPS</w:t>
      </w:r>
      <w:r>
        <w:t xml:space="preserve">: Đào tạo kỹ năng trước khi xuất khẩu lao động + return migration channel.</w:t>
      </w:r>
    </w:p>
    <w:p>
      <w:pPr>
        <w:pStyle w:val="BodyText"/>
      </w:pPr>
      <w:r>
        <w:rPr>
          <w:bCs/>
          <w:b/>
        </w:rPr>
        <w:t xml:space="preserve">(8) Chính sách số hóa Asia cho SME Việt Nam — 4 lộ trình tham khảo</w:t>
      </w:r>
    </w:p>
    <w:p>
      <w:pPr>
        <w:pStyle w:val="BodyText"/>
      </w:pPr>
      <w:r>
        <w:t xml:space="preserve">(a) Singapore/Hàn Quốc AI full-stack (Tier-3) — không phù hợp để copy trực tiếp;</w:t>
      </w:r>
      <w:r>
        <w:t xml:space="preserve"> </w:t>
      </w:r>
      <w:r>
        <w:t xml:space="preserve">(b) Nhật Bản 60% DN AI back-office (Tier-2) —</w:t>
      </w:r>
      <w:r>
        <w:t xml:space="preserve"> </w:t>
      </w:r>
      <w:r>
        <w:rPr>
          <w:bCs/>
          <w:b/>
        </w:rPr>
        <w:t xml:space="preserve">realistic target 2026–2030</w:t>
      </w:r>
      <w:r>
        <w:t xml:space="preserve">;</w:t>
      </w:r>
      <w:r>
        <w:t xml:space="preserve"> </w:t>
      </w:r>
      <w:r>
        <w:t xml:space="preserve">(c) Trung Quốc smart manufacturing (Tier-2/3) — học positive, tránh concentration risk (Wang/Huang/Hong, 2024);</w:t>
      </w:r>
      <w:r>
        <w:t xml:space="preserve"> </w:t>
      </w:r>
      <w:r>
        <w:t xml:space="preserve">(d)</w:t>
      </w:r>
      <w:r>
        <w:t xml:space="preserve"> </w:t>
      </w:r>
      <w:r>
        <w:rPr>
          <w:bCs/>
          <w:b/>
        </w:rPr>
        <w:t xml:space="preserve">Mô hình ưu tiên Việt Nam Tier-1.5</w:t>
      </w:r>
      <w:r>
        <w:t xml:space="preserve">: VietQR (100% miễn phí) → Social commerce → Cross-border Shopee/Amazon → Cloud + AI basic.</w:t>
      </w:r>
      <w:r>
        <w:t xml:space="preserve"> </w:t>
      </w:r>
      <w:r>
        <w:rPr>
          <w:bCs/>
          <w:b/>
        </w:rPr>
        <w:t xml:space="preserve">Hàm ý CĐ2</w:t>
      </w:r>
      <w:r>
        <w:t xml:space="preserve">: biến</w:t>
      </w:r>
      <w:r>
        <w:t xml:space="preserve"> </w:t>
      </w:r>
      <w:r>
        <w:rPr>
          <w:rStyle w:val="VerbatimChar"/>
        </w:rPr>
        <w:t xml:space="preserve">Digital_Tier_Vietnam</w:t>
      </w:r>
      <w:r>
        <w:t xml:space="preserve"> </w:t>
      </w:r>
      <w:r>
        <w:t xml:space="preserve">(4 cấp) test productivity payoff.</w:t>
      </w:r>
    </w:p>
    <w:bookmarkEnd w:id="108"/>
    <w:bookmarkStart w:id="109" w:name="Xe9288914ea67ce61d39182875aa85c441a71ef7"/>
    <w:p>
      <w:pPr>
        <w:pStyle w:val="Heading4"/>
      </w:pPr>
      <w:r>
        <w:t xml:space="preserve">7.3.4 Hàm ý cho Chuyên đề 2 — 8 robustness checks bắt buộc</w:t>
      </w:r>
    </w:p>
    <w:p>
      <w:pPr>
        <w:pStyle w:val="FirstParagraph"/>
      </w:pPr>
      <w:r>
        <w:rPr>
          <w:bCs/>
          <w:b/>
        </w:rPr>
        <w:t xml:space="preserve">(1) Thay DV</w:t>
      </w:r>
      <w:r>
        <w:t xml:space="preserve">: ln(LP) → ROS, revenue growth, employment growth. Kết quả chính cần bền vững ≥ 2/3 DV.</w:t>
      </w:r>
    </w:p>
    <w:p>
      <w:pPr>
        <w:pStyle w:val="BodyText"/>
      </w:pPr>
      <w:r>
        <w:rPr>
          <w:bCs/>
          <w:b/>
        </w:rPr>
        <w:t xml:space="preserve">(2) Lọc mẫu</w:t>
      </w:r>
      <w:r>
        <w:t xml:space="preserve">: Loại micro firms (&lt; 5 lao động) + SOE. Kết quả cần bền vững trong SME tư nhân (n ≈ 80.000+).</w:t>
      </w:r>
    </w:p>
    <w:p>
      <w:pPr>
        <w:pStyle w:val="BodyText"/>
      </w:pPr>
      <w:r>
        <w:rPr>
          <w:bCs/>
          <w:b/>
        </w:rPr>
        <w:t xml:space="preserve">(3) Thay phương pháp</w:t>
      </w:r>
      <w:r>
        <w:t xml:space="preserve">: OLS → quantile regression (p25/p50/p75); bootstrap SE 500 replications; HC3.</w:t>
      </w:r>
    </w:p>
    <w:p>
      <w:pPr>
        <w:pStyle w:val="BodyText"/>
      </w:pPr>
      <w:r>
        <w:rPr>
          <w:bCs/>
          <w:b/>
        </w:rPr>
        <w:t xml:space="preserve">(4) Functional form test</w:t>
      </w:r>
      <w:r>
        <w:t xml:space="preserve">: LOWESS phi tham số; Lind–Mehlum (2010) test bắt buộc xác nhận inverted-U; AIC/BIC so sánh linear vs quadratic vs cubic.</w:t>
      </w:r>
    </w:p>
    <w:p>
      <w:pPr>
        <w:pStyle w:val="BodyText"/>
      </w:pPr>
      <w:r>
        <w:rPr>
          <w:bCs/>
          <w:b/>
        </w:rPr>
        <w:t xml:space="preserve">(5) Placebo tests</w:t>
      </w:r>
      <w:r>
        <w:t xml:space="preserve">: Thay FSTS + TCI bằng noise variables. Kết quả chính không được có ý nghĩa thống kê.</w:t>
      </w:r>
    </w:p>
    <w:p>
      <w:pPr>
        <w:pStyle w:val="BodyText"/>
      </w:pPr>
      <w:r>
        <w:rPr>
          <w:bCs/>
          <w:b/>
        </w:rPr>
        <w:t xml:space="preserve">(6) Nhạy cảm ICRV cutoffs</w:t>
      </w:r>
      <w:r>
        <w:t xml:space="preserve">: ±0,1 WGI unit; PPP GDP/capita thay GNI; jackknife loại từng quốc gia (47 lần).</w:t>
      </w:r>
    </w:p>
    <w:p>
      <w:pPr>
        <w:pStyle w:val="BodyText"/>
      </w:pPr>
      <w:r>
        <w:rPr>
          <w:bCs/>
          <w:b/>
        </w:rPr>
        <w:t xml:space="preserve">(7) Temporal robustness</w:t>
      </w:r>
      <w:r>
        <w:t xml:space="preserve">: Chow test parameter stability; Paternoster z-test so sánh turning points giữa ba giai đoạn.</w:t>
      </w:r>
    </w:p>
    <w:p>
      <w:pPr>
        <w:pStyle w:val="BodyText"/>
      </w:pPr>
      <w:r>
        <w:rPr>
          <w:bCs/>
          <w:b/>
        </w:rPr>
        <w:t xml:space="preserve">(8) Schema boundary test</w:t>
      </w:r>
      <w:r>
        <w:t xml:space="preserve">: Triple-defense §4.11 — điều kiện tiên quyết trước khi báo cáo BREADY 2025 như bằng chứng nhân quả.</w:t>
      </w:r>
    </w:p>
    <w:bookmarkEnd w:id="109"/>
    <w:bookmarkEnd w:id="110"/>
    <w:bookmarkStart w:id="111" w:name="Xd6751fcd941cac399b01196917eb10d5a3f96de"/>
    <w:p>
      <w:pPr>
        <w:pStyle w:val="Heading3"/>
      </w:pPr>
      <w:r>
        <w:t xml:space="preserve">7.4 Hạn chế của chuyên đề</w:t>
      </w:r>
    </w:p>
    <w:p>
      <w:pPr>
        <w:pStyle w:val="FirstParagraph"/>
      </w:pPr>
      <w:r>
        <w:t xml:space="preserve">Bảy hạn chế cấu trúc cần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IV từ P3 Việt Nam và không thể khái quát trực tiếp sang 47 nền kinh tế.</w:t>
      </w:r>
    </w:p>
    <w:p>
      <w:pPr>
        <w:pStyle w:val="BodyText"/>
      </w:pPr>
      <w:r>
        <w:rPr>
          <w:bCs/>
          <w:b/>
        </w:rPr>
        <w:t xml:space="preserve">(2) DAI bị giới hạn Tier-1 và Tier-2</w:t>
      </w:r>
      <w:r>
        <w:t xml:space="preserve">: PICS3/Standardized chỉ có website binary (Tier-1). BREADY có Tier-2 nhưng không đo Tier-3/4. Chuyên đề chỉ phát biểu về phần bù Tier-1/2, không phải toàn bộ digital adoption spectrum.</w:t>
      </w:r>
    </w:p>
    <w:p>
      <w:pPr>
        <w:pStyle w:val="BodyText"/>
      </w:pPr>
      <w:r>
        <w:rPr>
          <w:bCs/>
          <w:b/>
        </w:rPr>
        <w:t xml:space="preserve">(3) TCI composite với trọng số đồng đều</w:t>
      </w:r>
      <w:r>
        <w:t xml:space="preserve">: Trung bình đơn giản 4 thành phần (ISO, R&amp;D, đổi mới sản phẩm, công nghệ nước ngoài) chưa được xác nhận bằng factor analysis — trọng số tối ưu có thể khác nhau giữa các nhóm ICRV.</w:t>
      </w:r>
    </w:p>
    <w:p>
      <w:pPr>
        <w:pStyle w:val="BodyText"/>
      </w:pPr>
      <w:r>
        <w:rPr>
          <w:bCs/>
          <w:b/>
        </w:rPr>
        <w:t xml:space="preserve">(4) Manager items thiếu trong một số sóng</w:t>
      </w:r>
      <w:r>
        <w:t xml:space="preserve">:</w:t>
      </w:r>
      <w:r>
        <w:t xml:space="preserve"> </w:t>
      </w:r>
      <w:r>
        <w:rPr>
          <w:rStyle w:val="VerbatimChar"/>
        </w:rPr>
        <w:t xml:space="preserve">exp_manager</w:t>
      </w:r>
      <w:r>
        <w:t xml:space="preserve">,</w:t>
      </w:r>
      <w:r>
        <w:t xml:space="preserve"> </w:t>
      </w:r>
      <w:r>
        <w:rPr>
          <w:rStyle w:val="VerbatimChar"/>
        </w:rPr>
        <w:t xml:space="preserve">gender</w:t>
      </w:r>
      <w:r>
        <w:t xml:space="preserve"> </w:t>
      </w:r>
      <w:r>
        <w:t xml:space="preserve">không có trong tất cả 14 sóng WBES. H4 CĐ2 ước lượng trên subsample, tạo selection bias tiềm tàng.</w:t>
      </w:r>
    </w:p>
    <w:p>
      <w:pPr>
        <w:pStyle w:val="BodyText"/>
      </w:pPr>
      <w:r>
        <w:rPr>
          <w:bCs/>
          <w:b/>
        </w:rPr>
        <w:t xml:space="preserve">(5) Không tách biệt COVID-19 effect khỏi digital adoption effect</w:t>
      </w:r>
      <w:r>
        <w:t xml:space="preserve">: BREADY 2018–2025 bao gồm COVID disruption (2020–2022) + AI acceleration (2023+). Kết quả BREADY 2025 nên được giải thích như "post-pandemic + digital acceleration combined".</w:t>
      </w:r>
    </w:p>
    <w:p>
      <w:pPr>
        <w:pStyle w:val="BodyText"/>
      </w:pPr>
      <w:r>
        <w:rPr>
          <w:bCs/>
          <w:b/>
        </w:rPr>
        <w:t xml:space="preserve">(6) SIDS coverage chưa đầy đủ</w:t>
      </w:r>
      <w:r>
        <w:t xml:space="preserve">: 7/~52 SIDS theo UNCTAD. Tuvalu, Nauru, Marshall Islands, Micronesia chưa có WBES. Kết luận về forced penalty có thể chưa đại diện toàn bộ SIDS Pacific.</w:t>
      </w:r>
    </w:p>
    <w:p>
      <w:pPr>
        <w:pStyle w:val="BodyText"/>
      </w:pPr>
      <w:r>
        <w:rPr>
          <w:bCs/>
          <w:b/>
        </w:rPr>
        <w:t xml:space="preserve">(7) Không có dữ liệu sector-specific digital intensity</w:t>
      </w:r>
      <w:r>
        <w:t xml:space="preserve">: WBES không phân biệt DAI theo ngành. Doanh nghiệp sản xuất (MES) và dịch vụ (CRM) có hệ số DAI Tier-1 giống nhau nhưng digital intensity thực tế khác nhau. Industry FE kiểm soát một phần nhưng không giải quyết triệt để.</w:t>
      </w:r>
    </w:p>
    <w:bookmarkEnd w:id="111"/>
    <w:bookmarkStart w:id="112" w:name="Xc4757111c20a258654aa235c758872e831b52cb"/>
    <w:p>
      <w:pPr>
        <w:pStyle w:val="Heading3"/>
      </w:pPr>
      <w:r>
        <w:t xml:space="preserve">7.5 Kế hoạch hoàn thiện</w:t>
      </w:r>
    </w:p>
    <w:p>
      <w:pPr>
        <w:pStyle w:val="FirstParagraph"/>
      </w:pPr>
      <w:r>
        <w:t xml:space="preserve">Bốn giai đoạn từ tháng 6 đến tháng 9 năm 2026:</w:t>
      </w:r>
    </w:p>
    <w:p>
      <w:pPr>
        <w:pStyle w:val="BodyText"/>
      </w:pPr>
      <w:r>
        <w:rPr>
          <w:bCs/>
          <w:b/>
        </w:rPr>
        <w:t xml:space="preserve">Giai đoạn 1 — Tháng 6/2026</w:t>
      </w:r>
      <w:r>
        <w:t xml:space="preserve">: Chạy M0–M7 trên R với dữ liệu WBES harmonized đầy đủ. Lind–Mehlum test. Paternoster z-test temporal. Xuất 8 bảng kết quả (Bảng 4.3–4.10) định dạng APA 7th. Cập nhật Bảng 5.1 với số liệu thực từ regression. Nộp bản nháp CĐ1 hoàn thiện cho PGS.TS. Phan Anh Tú.</w:t>
      </w:r>
    </w:p>
    <w:p>
      <w:pPr>
        <w:pStyle w:val="BodyText"/>
      </w:pPr>
      <w:r>
        <w:rPr>
          <w:bCs/>
          <w:b/>
        </w:rPr>
        <w:t xml:space="preserve">Giai đoạn 2 — Tháng 7/2026</w:t>
      </w:r>
      <w:r>
        <w:t xml:space="preserve">: Nộp P3 (APJM) và P4 (MIR). Chuẩn bị dữ liệu WBES cho CĐ2 (101.185 obs, 47 nền kinh tế, 3 thế hệ schema harmonized). Phác thảo M0–M7 specification CĐ2.</w:t>
      </w:r>
    </w:p>
    <w:p>
      <w:pPr>
        <w:pStyle w:val="BodyText"/>
      </w:pPr>
      <w:r>
        <w:rPr>
          <w:bCs/>
          <w:b/>
        </w:rPr>
        <w:t xml:space="preserve">Giai đoạn 3 — Tháng 8/2026</w:t>
      </w:r>
      <w:r>
        <w:t xml:space="preserve">: Ước lượng M0–M7 CĐ2 với HC1 robust SE + country/year FE. Kiểm định H1–H6. Chạy 8 robustness checks. Viết Chương 4 (Kết quả) và Chương 5 (Thảo luận) CĐ2.</w:t>
      </w:r>
    </w:p>
    <w:p>
      <w:pPr>
        <w:pStyle w:val="BodyText"/>
      </w:pPr>
      <w:r>
        <w:rPr>
          <w:bCs/>
          <w:b/>
        </w:rPr>
        <w:t xml:space="preserve">Giai đoạn 4 — Tháng 9/2026</w:t>
      </w:r>
      <w:r>
        <w:t xml:space="preserve">: Tích hợp CĐ1 + CĐ2 + P3/P4/P5 vào khung luận án tổng thể. Viết Chương 1 (Tổng quan) và Chương 6 (Kết luận) luận án. Nộp bản thảo luận án hoàn chỉnh lần 1 cho hội đồng hướng dẫn.</w:t>
      </w:r>
    </w:p>
    <w:p>
      <w:r>
        <w:pict>
          <v:rect style="width:0;height:1.5pt" o:hralign="center" o:hrstd="t" o:hr="t"/>
        </w:pict>
      </w:r>
    </w:p>
    <w:bookmarkEnd w:id="112"/>
    <w:bookmarkEnd w:id="113"/>
    <w:bookmarkStart w:id="114" w:name="tài-liệu-tham-khảo"/>
    <w:p>
      <w:pPr>
        <w:pStyle w:val="Heading2"/>
      </w:pPr>
      <w:r>
        <w:t xml:space="preserve">TÀI LIỆU THAM KHẢO</w:t>
      </w:r>
    </w:p>
    <w:p>
      <w:pPr>
        <w:pStyle w:val="FirstParagraph"/>
      </w:pPr>
      <w:r>
        <w:rPr>
          <w:iCs/>
          <w:i/>
        </w:rPr>
        <w:t xml:space="preserve">Trích dẫn theo APA 7th edition. Danh mục đầy đủ tại</w:t>
      </w:r>
      <w:r>
        <w:t xml:space="preserve"> </w:t>
      </w:r>
      <w:r>
        <w:rPr>
          <w:rStyle w:val="VerbatimChar"/>
        </w:rPr>
        <w:t xml:space="preserve">thesis/04_references_apa7.md</w:t>
      </w:r>
      <w:r>
        <w:t xml:space="preserve"> </w:t>
      </w:r>
      <w:r>
        <w:rPr>
          <w:iCs/>
          <w:i/>
        </w:rPr>
        <w:t xml:space="preserve">(v2.5).</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Coase, R. H. (1937). The nature of the firm.</w:t>
      </w:r>
      <w:r>
        <w:t xml:space="preserve"> </w:t>
      </w:r>
      <w:r>
        <w:rPr>
          <w:iCs/>
          <w:i/>
        </w:rPr>
        <w:t xml:space="preserve">Economica, 4</w:t>
      </w:r>
      <w:r>
        <w:t xml:space="preserve">(16), 386–405.</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w:t>
      </w:r>
      <w:r>
        <w:t xml:space="preserve"> </w:t>
      </w:r>
      <w:r>
        <w:rPr>
          <w:iCs/>
          <w:i/>
        </w:rPr>
        <w:t xml:space="preserve">Meta-analysis of internationalization–performance relationship in Asia-Pacific SMEs</w:t>
      </w:r>
      <w:r>
        <w:t xml:space="preserve">. Proceedings of ICBEF 2025. Business Innovation Academy.</w:t>
      </w:r>
    </w:p>
    <w:p>
      <w:pPr>
        <w:pStyle w:val="BodyText"/>
      </w:pPr>
      <w:r>
        <w:t xml:space="preserve">Đỗ, T. H., &amp; Phan, A. T. (2026). Internationalization and firm performance in Vietnam.</w:t>
      </w:r>
      <w:r>
        <w:t xml:space="preserve"> </w:t>
      </w:r>
      <w:r>
        <w:rPr>
          <w:iCs/>
          <w:i/>
        </w:rPr>
        <w:t xml:space="preserve">Asia Pacific Journal of Management</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Hvidt, M. (2013). Economic diversification in GCC countries: Past record and future trends.</w:t>
      </w:r>
      <w:r>
        <w:t xml:space="preserve"> </w:t>
      </w:r>
      <w:r>
        <w:rPr>
          <w:iCs/>
          <w:i/>
        </w:rPr>
        <w:t xml:space="preserve">LSE Kuwait Programme Research Papers, 27</w:t>
      </w:r>
      <w:r>
        <w:t xml:space="preserve">.</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Meyer, K. E., Neck, H. M., &amp; Meeks, M. D. (2017). The entrepreneurship-strategic management interface. In M. A. Hitt et al. (Eds.),</w:t>
      </w:r>
      <w:r>
        <w:t xml:space="preserve"> </w:t>
      </w:r>
      <w:r>
        <w:rPr>
          <w:iCs/>
          <w:i/>
        </w:rPr>
        <w:t xml:space="preserve">Strategic entrepreneurship</w:t>
      </w:r>
      <w:r>
        <w:t xml:space="preserve"> </w:t>
      </w:r>
      <w:r>
        <w:t xml:space="preserve">(pp. 19–44). Blackwell.</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114"/>
    <w:bookmarkStart w:id="117" w:name="phụ-lục"/>
    <w:p>
      <w:pPr>
        <w:pStyle w:val="Heading2"/>
      </w:pPr>
      <w:r>
        <w:t xml:space="preserve">PHỤ LỤC</w:t>
      </w:r>
    </w:p>
    <w:bookmarkStart w:id="115" w:name="X455ce858332f7a7b125a8542ec5352c1f9e8564"/>
    <w:p>
      <w:pPr>
        <w:pStyle w:val="Heading3"/>
      </w:pPr>
      <w:r>
        <w:t xml:space="preserve">Phụ lục A —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 101.185 doanh nghiệp, 108 cặp quốc gia–năm.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w:t>
      </w:r>
      <w:r>
        <w:t xml:space="preserve"> </w:t>
      </w:r>
      <w:r>
        <w:t xml:space="preserve">n xấp xỉ do harmonization loại quan sát thiếu biến phụ thuộc. Phân bổ chính xác tại Bảng 4.1.</w:t>
      </w:r>
    </w:p>
    <w:p>
      <w:pPr>
        <w:pStyle w:val="BodyText"/>
      </w:pPr>
      <w:r>
        <w:rPr>
          <w:bCs/>
          <w:b/>
        </w:rPr>
        <w:t xml:space="preserve">Ba thế hệ schema WBES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DAI coverage</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Tier-1 only (website binary)</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Tier-1 only</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(e-payment k33/k38)</w:t>
            </w:r>
          </w:p>
        </w:tc>
      </w:tr>
    </w:tbl>
    <w:p>
      <w:pPr>
        <w:pStyle w:val="BodyText"/>
      </w:pPr>
      <w:r>
        <w:t xml:space="preserve">Triple-defense system (§4.11) đảm bảo kết quả từ BREADY 2025 không bị nhiễu schema effect.</w:t>
      </w:r>
    </w:p>
    <w:bookmarkEnd w:id="115"/>
    <w:bookmarkStart w:id="116" w:name="phụ-lục-bg"/>
    <w:p>
      <w:pPr>
        <w:pStyle w:val="Heading3"/>
      </w:pPr>
      <w:r>
        <w:t xml:space="preserve">Phụ lục B–G</w:t>
      </w:r>
    </w:p>
    <w:p>
      <w:pPr>
        <w:pStyle w:val="FirstParagraph"/>
      </w:pPr>
      <w:r>
        <w:t xml:space="preserve">Sẽ mở rộng trong giai đoạn hoàn thiện tháng 6–8/2026:</w:t>
      </w:r>
    </w:p>
    <w:p>
      <w:pPr>
        <w:numPr>
          <w:ilvl w:val="0"/>
          <w:numId w:val="1013"/>
        </w:numPr>
        <w:pStyle w:val="Compact"/>
      </w:pPr>
      <w:r>
        <w:t xml:space="preserve">B: Quy trình harmonization ba thế hệ schema chi tiết</w:t>
      </w:r>
    </w:p>
    <w:p>
      <w:pPr>
        <w:numPr>
          <w:ilvl w:val="0"/>
          <w:numId w:val="1013"/>
        </w:numPr>
        <w:pStyle w:val="Compact"/>
      </w:pPr>
      <w:r>
        <w:t xml:space="preserve">C: Bảng phân loại 47 nước vào ICRV 6 nhóm (đầy đủ)</w:t>
      </w:r>
    </w:p>
    <w:p>
      <w:pPr>
        <w:numPr>
          <w:ilvl w:val="0"/>
          <w:numId w:val="1013"/>
        </w:numPr>
        <w:pStyle w:val="Compact"/>
      </w:pPr>
      <w:r>
        <w:t xml:space="preserve">D: Kết quả M0–M7 đầy đủ (khi phân tích hoàn tất)</w:t>
      </w:r>
    </w:p>
    <w:p>
      <w:pPr>
        <w:numPr>
          <w:ilvl w:val="0"/>
          <w:numId w:val="1013"/>
        </w:numPr>
        <w:pStyle w:val="Compact"/>
      </w:pPr>
      <w:r>
        <w:t xml:space="preserve">E: Kiểm định robustness 8 loại (kết quả chi tiết)</w:t>
      </w:r>
    </w:p>
    <w:p>
      <w:pPr>
        <w:numPr>
          <w:ilvl w:val="0"/>
          <w:numId w:val="1013"/>
        </w:numPr>
        <w:pStyle w:val="Compact"/>
      </w:pPr>
      <w:r>
        <w:t xml:space="preserve">F: PRISMA-style literature search protocol</w:t>
      </w:r>
    </w:p>
    <w:p>
      <w:pPr>
        <w:numPr>
          <w:ilvl w:val="0"/>
          <w:numId w:val="1013"/>
        </w:numPr>
        <w:pStyle w:val="Compact"/>
      </w:pPr>
      <w:r>
        <w:t xml:space="preserve">G: Biểu đồ turning point theo nhóm ICRV</w:t>
      </w:r>
    </w:p>
    <w:p>
      <w:r>
        <w:pict>
          <v:rect style="width:0;height:1.5pt" o:hralign="center" o:hrstd="t" o:hr="t"/>
        </w:pict>
      </w:r>
    </w:p>
    <w:p>
      <w:pPr>
        <w:pStyle w:val="FirstParagraph"/>
      </w:pPr>
      <w:r>
        <w:rPr>
          <w:iCs/>
          <w:i/>
        </w:rPr>
        <w:t xml:space="preserve">Chuyên đề tiến sĩ số 1 — Phiên bản nộp v1.0 (12/05/2026)</w:t>
      </w:r>
      <w:r>
        <w:t xml:space="preserve"> </w:t>
      </w:r>
      <w:r>
        <w:rPr>
          <w:iCs/>
          <w:i/>
        </w:rPr>
        <w:t xml:space="preserve">Nghiên cứu sinh: Đỗ Thùy Hương — Trường Đại học Kỹ thuật Công nghệ Vĩnh Long (VLUTE)</w:t>
      </w:r>
      <w:r>
        <w:t xml:space="preserve"> </w:t>
      </w:r>
      <w:r>
        <w:rPr>
          <w:iCs/>
          <w:i/>
        </w:rPr>
        <w:t xml:space="preserve">Người hướng dẫn: PGS.TS. Phan Anh Tú — Trường Kinh tế, Đại học Cần Thơ (CTU)</w:t>
      </w:r>
    </w:p>
    <w:bookmarkEnd w:id="116"/>
    <w:bookmarkEnd w:id="117"/>
    <w:bookmarkEnd w:id="11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2026-05-21T03:55:36Z</dcterms:created>
  <dcterms:modified xsi:type="dcterms:W3CDTF">2026-05-21T03:55:36Z</dcterms:modified>
</cp:coreProperties>
</file>

<file path=docProps/custom.xml><?xml version="1.0" encoding="utf-8"?>
<Properties xmlns="http://schemas.openxmlformats.org/officeDocument/2006/custom-properties" xmlns:vt="http://schemas.openxmlformats.org/officeDocument/2006/docPropsVTypes"/>
</file>