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 "Xây dựng mô hình nghiên cứu về ảnh hưởng của quốc tế hóa đến hiệu quả hoạt động kinh doanh của các doanh nghiệp ở Châu Á" 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rPr>
          <w:bCs/>
          <w:b/>
        </w:rPr>
        <w:t xml:space="preserve">Mục đích.</w:t>
      </w:r>
      <w:r>
        <w:t xml:space="preserve"> </w:t>
      </w:r>
      <w:r>
        <w:t xml:space="preserve">Chuyên đề xây dựng mô hình nghiên cứu lý thuyết và thực nghiệm về ảnh hưởng của quốc tế hoá đến hiệu quả hoạt động kinh doanh của doanh nghiệp ở các nền kinh tế châu Á trong giai đoạn 2009-2025, với câu hỏi trọng tâm là quan hệ quốc tế hoá-hiệu quả phi tuyến đến mức nào và bị điều tiết ra sao bởi năng lực công nghệ, áp dụng số nền tảng, đặc điểm nhà quản trị, và chế độ thể chế nội địa.</w:t>
      </w:r>
    </w:p>
    <w:p>
      <w:pPr>
        <w:pStyle w:val="BodyText"/>
      </w:pPr>
      <w:r>
        <w:rPr>
          <w:bCs/>
          <w:b/>
        </w:rPr>
        <w:t xml:space="preserve">Thiết kế / phương pháp luận / cách tiếp cận.</w:t>
      </w:r>
      <w:r>
        <w:t xml:space="preserve"> </w:t>
      </w:r>
      <w:r>
        <w:t xml:space="preserve">Khung lý thuyết tích hợp bốn tầng kết hợp lý thuyết Uppsala, Quan điểm Dựa vào Nguồn lực (Resource-Based View, RBV), Lý thuyết Thể chế và Lý thuyết Tầng cao Quản trị (Upper Echelons Theory) cùng Khung Áp dụng Số Nền tảng (Foundational Digital Adoption Framework). Sáu giả thuyết H1-H6 được phát triển: H1 phi tuyến chữ U ngược hoặc S-curve; H2 Chỉ số Năng lực Công nghệ điều tiết tích cực; H3a-H3b Chỉ số Áp dụng Số điều tiết phụ thuộc chế độ thể chế; H4a-H4c đặc điểm nhà quản trị điều tiết; H5 thể chế nội địa điều tiết theo gradient sáu nhóm Biến thiên Chế độ Thể chế (Institutional Context Regime Variation, ICRV); H6 tính không đồng nhất theo thời gian. Tám mô hình thực nghiệm M0-M7 được đặc tả, từ baseline tuyến tính đến mô hình điều tiết ba chiều cấp luận án, cho pool 101.185 doanh nghiệp ở 47 nền kinh tế châu Á-Thái Bình Dương, 108 cặp quốc gia-năm qua 14 mốc khảo sát của Khảo sát Doanh nghiệp của Ngân hàng Thế giới (WBES) giai đoạn 2009-2025.</w:t>
      </w:r>
    </w:p>
    <w:p>
      <w:pPr>
        <w:pStyle w:val="BodyText"/>
      </w:pPr>
      <w:r>
        <w:rPr>
          <w:bCs/>
          <w:b/>
        </w:rPr>
        <w:t xml:space="preserve">Kết quả nghiên cứu.</w:t>
      </w:r>
      <w:r>
        <w:t xml:space="preserve"> </w:t>
      </w:r>
      <w:r>
        <w:t xml:space="preserve">Lược khảo năm dạng hàm quan hệ quốc tế hoá-hiệu quả gồm tuyến tính, chữ U ngược, S-curve, M-curve và forced penalty, cùng năm meta-analysis lớn giai đoạn 1980-2024, cho thấy khoảng trống thực nghiệm trong kiểm định đồng thời phi tuyến và điều tiết đa tầng ở châu Á. Ba bản thảo thực nghiệm đồng hành cung cấp bằng chứng quốc gia cụ thể kiểm định H1-H6: P3 Việt Nam (under review tại JABS) cho thấy lợi ích quốc tế hoá tập trung tại biên tham gia với DAI điều tiết phụ thuộc đợt khảo sát; P4 Singapore (under review tại MIR) cho thấy DAI vận hành như nguồn lực mở rộng có điều kiện ở đuôi xuất khẩu cao; P5 Trung Quốc (under review tại IJOEM) xác nhận ngưỡng chữ U ngược ổn định cấu trúc qua 12 năm giữa 2012 và 2024.</w:t>
      </w:r>
    </w:p>
    <w:p>
      <w:pPr>
        <w:pStyle w:val="BodyText"/>
      </w:pPr>
      <w:r>
        <w:rPr>
          <w:bCs/>
          <w:b/>
        </w:rPr>
        <w:t xml:space="preserve">Tính mới / đóng góp.</w:t>
      </w:r>
      <w:r>
        <w:t xml:space="preserve"> </w:t>
      </w:r>
      <w:r>
        <w:t xml:space="preserve">Chuyên đề đóng góp bốn điểm: thứ nhất, khung tích hợp bốn tầng kết hợp Khung Áp dụng Số Nền tảng chưa có tương đương cho châu Á; thứ hai, tách bạch năng lực công nghệ và áp dụng số theo Mô hình Năng lực và Áp dụng Số Phụ thuộc Bối cảnh (Context-Contingent Digital-and-Capability Model, CDCM), giải thích nhất quán cả kết quả null của DAI ở thị trường mới nổi và kết quả dương có điều kiện ở thị trường tiên tiến; thứ ba, mô hình M7 điều tiết ba chiều ở cấp luận án; thứ tư, phân loại phân nhóm con của chế độ Tiên tiến thành đổi mới sáng tạo dẫn dắt và tài nguyên dẫn dắt, một đóng góp lý thuyết kiểu Varieties of Capitalism cho bối cảnh châu Á.</w:t>
      </w:r>
    </w:p>
    <w:p>
      <w:pPr>
        <w:pStyle w:val="BodyText"/>
      </w:pPr>
      <w:r>
        <w:rPr>
          <w:bCs/>
          <w:b/>
        </w:rPr>
        <w:t xml:space="preserve">Từ khoá:</w:t>
      </w:r>
      <w:r>
        <w:t xml:space="preserve"> </w:t>
      </w:r>
      <w:r>
        <w:t xml:space="preserve">quốc tế hoá; hiệu quả hoạt động kinh doanh; châu Á; mô hình phi tuyến; điều tiết đa tầng; áp dụng công nghệ số; thể chế; Tầng cao Quản trị; Biến thiên Chế độ Thể chế.</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1"/>
    <w:bookmarkStart w:id="22" w:name="abstract"/>
    <w:p>
      <w:pPr>
        <w:pStyle w:val="Heading2"/>
      </w:pPr>
      <w:r>
        <w:t xml:space="preserve">ABSTRACT</w:t>
      </w:r>
    </w:p>
    <w:p>
      <w:pPr>
        <w:pStyle w:val="FirstParagraph"/>
      </w:pPr>
      <w:r>
        <w:rPr>
          <w:bCs/>
          <w:b/>
        </w:rPr>
        <w:t xml:space="preserve">Purpose.</w:t>
      </w:r>
      <w:r>
        <w:t xml:space="preserve"> </w:t>
      </w:r>
      <w:r>
        <w:t xml:space="preserve">This specialty essay constructs a theoretical and empirical research model on the effect of internationalisation on firm performance across Asian economies during 2009-2025. The central research question is how nonlinear the internationalisation-performance relationship is and how it is moderated by technological capability, foundational digital adoption, top-manager characteristics, and home-country institutions.</w:t>
      </w:r>
    </w:p>
    <w:p>
      <w:pPr>
        <w:pStyle w:val="BodyText"/>
      </w:pPr>
      <w:r>
        <w:rPr>
          <w:bCs/>
          <w:b/>
        </w:rPr>
        <w:t xml:space="preserve">Design/methodology/approach.</w:t>
      </w:r>
      <w:r>
        <w:t xml:space="preserve"> </w:t>
      </w:r>
      <w:r>
        <w:t xml:space="preserve">The integrated theoretical framework combines four layers, the Uppsala model, the Resource-Based View, Institutional Theory, and Upper Echelons Theory, together with the Foundational Digital Adoption Framework. Six hypotheses (H1-H6) are developed: H1 nonlinear inverted-U or S-curve relationship; H2 Technological Capability Index positively moderating; H3a-H3b Digital Adoption Index moderating contingent on institutional regime; H4a-H4c top-manager characteristics moderating; H5 home-country institutions moderating along the Institutional Context Regime Variation (ICRV) six-regime gradient; H6 temporal heterogeneity. Eight empirical models M0-M7 are specified, from linear baseline to three-way moderation at the dissertation level, for a pool of 101,185 firms across 47 Asian and Pacific economies spanning 108 country-year pairs and 14 World Bank Enterprise Survey waves.</w:t>
      </w:r>
    </w:p>
    <w:p>
      <w:pPr>
        <w:pStyle w:val="BodyText"/>
      </w:pPr>
      <w:r>
        <w:rPr>
          <w:bCs/>
          <w:b/>
        </w:rPr>
        <w:t xml:space="preserve">Findings.</w:t>
      </w:r>
      <w:r>
        <w:t xml:space="preserve"> </w:t>
      </w:r>
      <w:r>
        <w:t xml:space="preserve">A review of five functional forms of the internationalisation-performance relationship, linear, inverted-U, S-curve, M-curve, and forced penalty, together with five major meta-analyses covering 1980-2024, reveals an empirical gap in the simultaneous testing of nonlinearity and multi-level moderation in Asia. Three companion empirical papers provide country-specific evidence testing H1-H6: P3 Vietnam (under review at JABS) shows internationalisation gains concentrate at the participation margin with wave-specific Digital Adoption moderation; P4 Singapore (under review at MIR) shows Digital Adoption functions as a conditional scaling resource at the high-export tail; P5 China (under review at IJOEM) confirms the inverted-U threshold as structurally durable across 12 years between 2012 and 2024.</w:t>
      </w:r>
    </w:p>
    <w:p>
      <w:pPr>
        <w:pStyle w:val="BodyText"/>
      </w:pPr>
      <w:r>
        <w:rPr>
          <w:bCs/>
          <w:b/>
        </w:rPr>
        <w:t xml:space="preserve">Originality/value.</w:t>
      </w:r>
      <w:r>
        <w:t xml:space="preserve"> </w:t>
      </w:r>
      <w:r>
        <w:t xml:space="preserve">The essay contributes in four ways: an integrated 4-tier framework combined with the Foundational Digital Adoption Framework with no equivalent for Asia; the separation of Technological Capability and Digital Adoption within the Context-Contingent Digital-and-Capability Model (CDCM) that consistently explains both null Digital Adoption results in emerging markets and conditional positive results in advanced markets; the M7 three-way moderation model; and sub-grouping of the Advanced regime into innovation-driven and resource-driven types, a Varieties-of-Capitalism contribution adapted to Asia.</w:t>
      </w:r>
    </w:p>
    <w:p>
      <w:pPr>
        <w:pStyle w:val="BodyText"/>
      </w:pPr>
      <w:r>
        <w:rPr>
          <w:bCs/>
          <w:b/>
        </w:rPr>
        <w:t xml:space="preserve">Keywords:</w:t>
      </w:r>
      <w:r>
        <w:t xml:space="preserve"> </w:t>
      </w:r>
      <w:r>
        <w:t xml:space="preserve">internationalisation; firm performance; Asia; nonlinear models; multi-level moderation; digital adoption; institutions; Upper Echelons Theory; Institutional Context Regime Variation.</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Doctoral specialty essay.</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Quan hệ quốc tế hóa, 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0" w:name="phần-2--nội-dung-chuyên-đề"/>
    <w:p>
      <w:pPr>
        <w:pStyle w:val="Heading2"/>
      </w:pPr>
      <w:r>
        <w:t xml:space="preserve">Phần 2 — NỘI DUNG CHUYÊN ĐỀ</w:t>
      </w:r>
    </w:p>
    <w:bookmarkStart w:id="32" w:name="X250440a458f84752b4b3036c6ea6774636261fc"/>
    <w:p>
      <w:pPr>
        <w:pStyle w:val="Heading3"/>
      </w:pPr>
      <w:r>
        <w:t xml:space="preserve">2.1 Đặt vấn đề</w:t>
      </w:r>
    </w:p>
    <w:bookmarkStart w:id="27" w:name="X6fd7dffa6b3478b027da0e5f281b07809f22c1a"/>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101.185 doanh nghiệp WBES xuyên 47 nền kinh tế, làm rõ ba pattern then chốt: phân tán năng suất tăng đơn điệu theo chế độ từ Nhóm I đến Nhóm VI; tính không đồng nhất nội bộ trong nhóm Advanced; và pattern adaptation đặc trưng của các quốc đảo nhỏ Thái Bình Dương. Đồng thời, phân tích đó phát hiện CDCM —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pattern đó.</w:t>
      </w:r>
    </w:p>
    <w:p>
      <w:pPr>
        <w:pStyle w:val="BodyText"/>
      </w:pPr>
      <w:r>
        <w:t xml:space="preserve">Bốn bản thảo thực nghiệm đồng hành cung cấp bằng chứng quốc gia cụ thể kiểm định khả năng của khung đề xuất.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under review)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under review) phân tích 623 doanh nghiệp WBES 2023, cho thấy điểm uốn hàm ý ở FSTS khoảng 88,6% và DAI hoạt động như nguồn lực mở rộng tình huống với hệ số DAI×FSTS² = +3,119 (p = 0,005). P5 Trung Quốc (Đỗ &amp; Phan, 2026, IJOEM under review) phân tích 4.559 doanh nghiệp WBES hai sóng (2012, 2024) xác nhận chữ U ngược bền vững cấu trúc với điểm uốn 49,4% (2012) và 47,2% (2024).</w:t>
      </w:r>
    </w:p>
    <w:bookmarkEnd w:id="27"/>
    <w:bookmarkStart w:id="28" w:name="X7f20f31862286b06027ff59c387b4d07500e944"/>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X28671d9fcbac6b0efa836b4f85e9e35e8b46ecb"/>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X73c4e02a184ef39ee5bcd85312599da377da197"/>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 đó là nhiệm vụ của các bài báo tiếp theo trong chuỗi luận án. Chuyên đề này tập trung xây dựng và đặc tả mô hình.</w:t>
      </w:r>
    </w:p>
    <w:bookmarkEnd w:id="30"/>
    <w:bookmarkStart w:id="31" w:name="X173e482f639c5b1a820140a37335e593ce55be4"/>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văn liệu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 đặc biệt trong giai đoạn AI bùng nổ.</w:t>
      </w:r>
    </w:p>
    <w:p>
      <w:r>
        <w:pict>
          <v:rect style="width:0;height:1.5pt" o:hralign="center" o:hrstd="t" o:hr="t"/>
        </w:pict>
      </w:r>
    </w:p>
    <w:bookmarkEnd w:id="31"/>
    <w:bookmarkEnd w:id="32"/>
    <w:bookmarkStart w:id="33" w:name="X8ba68eb4f47e195906995745687b14136750d53"/>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Xfadb92acae8a4d37a91981bb046b7a60d6983fb"/>
    <w:p>
      <w:pPr>
        <w:pStyle w:val="Heading3"/>
      </w:pPr>
      <w:r>
        <w:t xml:space="preserve">2.3 Kết quả và thảo luận</w:t>
      </w:r>
    </w:p>
    <w:bookmarkStart w:id="37" w:name="X1a15d42e320d2462e5852a7fe8c9509599fae0d"/>
    <w:p>
      <w:pPr>
        <w:pStyle w:val="Heading4"/>
      </w:pPr>
      <w:r>
        <w:t xml:space="preserve">2.3.1 Tổng quan văn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tắt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 (không kiểm định hệ thống)</w:t>
            </w:r>
          </w:p>
        </w:tc>
        <w:tc>
          <w:tcPr/>
          <w:p>
            <w:pPr>
              <w:pStyle w:val="Compact"/>
              <w:jc w:val="left"/>
            </w:pPr>
            <w:r>
              <w:t xml:space="preserve">Partial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 (GDP, văn hóa)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Kirca et al. (2012)</w:t>
            </w:r>
          </w:p>
        </w:tc>
        <w:tc>
          <w:tcPr/>
          <w:p>
            <w:pPr>
              <w:pStyle w:val="Compact"/>
              <w:jc w:val="left"/>
            </w:pPr>
            <w:r>
              <w:t xml:space="preserve">✗</w:t>
            </w:r>
          </w:p>
        </w:tc>
        <w:tc>
          <w:tcPr/>
          <w:p>
            <w:pPr>
              <w:pStyle w:val="Compact"/>
              <w:jc w:val="left"/>
            </w:pPr>
            <w:r>
              <w:t xml:space="preserve">✓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 (ngành)</w:t>
            </w:r>
          </w:p>
        </w:tc>
        <w:tc>
          <w:tcPr/>
          <w:p>
            <w:pPr>
              <w:pStyle w:val="Compact"/>
              <w:jc w:val="left"/>
            </w:pPr>
            <w:r>
              <w:t xml:space="preserve">✗</w:t>
            </w:r>
          </w:p>
        </w:tc>
      </w:tr>
      <w:tr>
        <w:tc>
          <w:tcPr/>
          <w:p>
            <w:pPr>
              <w:pStyle w:val="Compact"/>
              <w:jc w:val="left"/>
            </w:pPr>
            <w:r>
              <w:t xml:space="preserve">Marano et al. (2016)</w:t>
            </w:r>
          </w:p>
        </w:tc>
        <w:tc>
          <w:tcPr/>
          <w:p>
            <w:pPr>
              <w:pStyle w:val="Compact"/>
              <w:jc w:val="left"/>
            </w:pPr>
            <w:r>
              <w:t xml:space="preserve">✓ (TP ±15% FSTS)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Wu, Wood &amp; Khan (2022)</w:t>
            </w:r>
          </w:p>
        </w:tc>
        <w:tc>
          <w:tcPr/>
          <w:p>
            <w:pPr>
              <w:pStyle w:val="Compact"/>
              <w:jc w:val="left"/>
            </w:pPr>
            <w:r>
              <w:t xml:space="preserve">✓ (TP thấp hơn EMNE)</w:t>
            </w:r>
          </w:p>
        </w:tc>
        <w:tc>
          <w:tcPr/>
          <w:p>
            <w:pPr>
              <w:pStyle w:val="Compact"/>
              <w:jc w:val="left"/>
            </w:pPr>
            <w:r>
              <w:t xml:space="preserve">Partial (absorptive capacity)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(20 năm)</w:t>
            </w:r>
          </w:p>
        </w:tc>
        <w:tc>
          <w:tcPr/>
          <w:p>
            <w:pPr>
              <w:pStyle w:val="Compact"/>
              <w:jc w:val="left"/>
            </w:pPr>
            <w:r>
              <w:t xml:space="preserve">✓ (EMNE/DMNE)</w:t>
            </w:r>
          </w:p>
        </w:tc>
        <w:tc>
          <w:tcPr/>
          <w:p>
            <w:pPr>
              <w:pStyle w:val="Compact"/>
              <w:jc w:val="left"/>
            </w:pPr>
            <w:r>
              <w:t xml:space="preserve">✗</w:t>
            </w:r>
          </w:p>
        </w:tc>
      </w:tr>
      <w:tr>
        <w:tc>
          <w:tcPr/>
          <w:p>
            <w:pPr>
              <w:pStyle w:val="Compact"/>
              <w:jc w:val="left"/>
            </w:pPr>
            <w:r>
              <w:t xml:space="preserve">Đỗ &amp; Phan (2026 — JFAR)</w:t>
            </w:r>
          </w:p>
        </w:tc>
        <w:tc>
          <w:tcPr/>
          <w:p>
            <w:pPr>
              <w:pStyle w:val="Compact"/>
              <w:jc w:val="left"/>
            </w:pPr>
            <w:r>
              <w:t xml:space="preserve">✓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 (H1: chữ U ngược + S-curve)</w:t>
            </w:r>
          </w:p>
        </w:tc>
        <w:tc>
          <w:tcPr/>
          <w:p>
            <w:pPr>
              <w:pStyle w:val="Compact"/>
              <w:jc w:val="left"/>
            </w:pPr>
            <w:r>
              <w:rPr>
                <w:bCs/>
                <w:b/>
              </w:rPr>
              <w:t xml:space="preserve">✓ (H2: nhân quả IV)</w:t>
            </w:r>
          </w:p>
        </w:tc>
        <w:tc>
          <w:tcPr/>
          <w:p>
            <w:pPr>
              <w:pStyle w:val="Compact"/>
              <w:jc w:val="left"/>
            </w:pPr>
            <w:r>
              <w:rPr>
                <w:bCs/>
                <w:b/>
              </w:rPr>
              <w:t xml:space="preserve">✓ (H3: CDCM phân biệt)</w:t>
            </w:r>
          </w:p>
        </w:tc>
        <w:tc>
          <w:tcPr/>
          <w:p>
            <w:pPr>
              <w:pStyle w:val="Compact"/>
              <w:jc w:val="left"/>
            </w:pPr>
            <w:r>
              <w:rPr>
                <w:bCs/>
                <w:b/>
              </w:rPr>
              <w:t xml:space="preserve">✓ (H4a–H4c)</w:t>
            </w:r>
          </w:p>
        </w:tc>
        <w:tc>
          <w:tcPr/>
          <w:p>
            <w:pPr>
              <w:pStyle w:val="Compact"/>
              <w:jc w:val="left"/>
            </w:pPr>
            <w:r>
              <w:rPr>
                <w:bCs/>
                <w:b/>
              </w:rPr>
              <w:t xml:space="preserve">✓ (H5: ICRV 6 nhóm)</w:t>
            </w:r>
          </w:p>
        </w:tc>
        <w:tc>
          <w:tcPr/>
          <w:p>
            <w:pPr>
              <w:pStyle w:val="Compact"/>
              <w:jc w:val="left"/>
            </w:pPr>
            <w:r>
              <w:rPr>
                <w:bCs/>
                <w:b/>
              </w:rPr>
              <w:t xml:space="preserve">✓ (H6: 3 giai đoạn)</w:t>
            </w:r>
          </w:p>
        </w:tc>
        <w:tc>
          <w:tcPr/>
          <w:p>
            <w:pPr>
              <w:pStyle w:val="Compact"/>
              <w:jc w:val="left"/>
            </w:pPr>
            <w:r>
              <w:rPr>
                <w:bCs/>
                <w:b/>
              </w:rPr>
              <w:t xml:space="preserve">✓ (Nhóm I→VI)</w:t>
            </w:r>
          </w:p>
        </w:tc>
        <w:tc>
          <w:tcPr/>
          <w:p>
            <w:pPr>
              <w:pStyle w:val="Compact"/>
              <w:jc w:val="left"/>
            </w:pPr>
            <w:r>
              <w:rPr>
                <w:bCs/>
                <w:b/>
              </w:rPr>
              <w:t xml:space="preserve">✓ (Nhóm VI FIP)</w:t>
            </w:r>
          </w:p>
        </w:tc>
      </w:tr>
    </w:tbl>
    <w:p>
      <w:pPr>
        <w:pStyle w:val="BodyText"/>
      </w:pPr>
      <w:r>
        <w:rPr>
          <w:iCs/>
          <w:i/>
        </w:rPr>
        <w:t xml:space="preserve">Ghi chú: ✓ = kiểm định chính thức hoặc đóng góp lý thuyết rõ ràng; Partial = đề cập nhưng không phải trọng tâm; ✗ = không bao gồm; – = không áp dụng. FIP = Forced Internationalization Penalty. TCI và DAI được phân tách theo tiêu chí CDCM; P2 JFAR không kiểm định CDCM (pre-framework) nhưng cung cấp bằng chứng phi tuyến cubic tiền thân.</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(§3.2–§3.3) và luận án (§4.5.1). Chuỗi M0–M7 trong Chuyên đề 2 là các mô hình cấp độ pool 47 quốc gia, khác với đặc tả cấp độ quốc gia của P3.</w:t>
      </w:r>
    </w:p>
    <w:p>
      <w:pPr>
        <w:pStyle w:val="BodyText"/>
      </w:pPr>
      <w:r>
        <w:t xml:space="preserve">P4 Singapore (Mar, Đỗ &amp; Phan, 2026, MIR under review): Phân tích 623 doanh nghiệp WBES 2023. Trong nền kinh tế số bão hòa, đường cong I→P chủ yếu dương —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under review): Phân tích 4.559 doanh nghiệp WBES hai sóng (2012, 2024). Chữ U ngược bền vững cấu trúc — điểm uốn 49,4% (2012), 47,2% (2024), kiểm định Paternoster cho hệ số FSTS² không có sự khác biệt đáng kể (p = 0,545). TCI tăng cường theo thời gian (+0,260 → +0,426, Paternoster p = 0,011).</w:t>
      </w:r>
    </w:p>
    <w:p>
      <w:pPr>
        <w:pStyle w:val="BodyText"/>
      </w:pPr>
      <w:r>
        <w:t xml:space="preserve">Bảng 2.3. So sánh bằng chứng bốn bản thảo đồng hành.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JFAR) là bản thảo tiền thân đã công bố, tìm thấy bậc ba (cubic nonlinearity) trong mẫu SMEs Trung Quốc,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(hoặc S-curve cubic trong P2) là dạng hàm phổ biến nhất cho doanh nghiệp vừa và nhỏ châu Á với điểm uốn phụ thuộc vào ICRV.</w:t>
      </w:r>
    </w:p>
    <w:bookmarkEnd w:id="36"/>
    <w:bookmarkEnd w:id="37"/>
    <w:bookmarkStart w:id="44" w:name="X6db6454cb7343cf63bbff81acf66665d04ccf29"/>
    <w:p>
      <w:pPr>
        <w:pStyle w:val="Heading4"/>
      </w:pPr>
      <w:r>
        <w:t xml:space="preserve">2.3.2 Khung lý thuyết tích hợp 4 tầng</w:t>
      </w:r>
    </w:p>
    <w:bookmarkStart w:id="38" w:name="tầng-1--lý-thuyết-quốc-tế-hóa-uppsala"/>
    <w:p>
      <w:pPr>
        <w:pStyle w:val="Heading5"/>
      </w:pPr>
      <w:r>
        <w:t xml:space="preserve">Tầng 1 —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8ece2e3529c502524817b2cb789dbe4387643af"/>
    <w:p>
      <w:pPr>
        <w:pStyle w:val="Heading5"/>
      </w:pPr>
      <w:r>
        <w:t xml:space="preserve">Tầng 2 —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 +0,426) ủng hộ TCI là nguồn lực VRIN bền vững.</w:t>
      </w:r>
    </w:p>
    <w:bookmarkEnd w:id="39"/>
    <w:bookmarkStart w:id="40" w:name="Xdfac8a2b424ed4182e1112636d8214b6ae10bd4"/>
    <w:p>
      <w:pPr>
        <w:pStyle w:val="Heading5"/>
      </w:pPr>
      <w:r>
        <w:t xml:space="preserve">Tầng 3 —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DAI×FSTS² =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(Upper Echelons/Hambrick &amp; Mason, 1984); bị khuôn khổ bởi thể chế nội địa (Institutional Theory/North, 1990), gradient ICRV 6 nhóm với gánh nặng tắt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2ec1cc6dbd47f936660533e43094c590c9cc4f"/>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8" w:name="X92150996274ab00ad3bd5693e38782a96c025a9"/>
    <w:p>
      <w:pPr>
        <w:pStyle w:val="Heading5"/>
      </w:pPr>
      <w:r>
        <w:t xml:space="preserve">Hình 2.1. Khung khái niệm tích hợp (tổng quan)</w:t>
      </w:r>
    </w:p>
    <w:p>
      <w:pPr>
        <w:pStyle w:val="FirstParagraph"/>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101.185 doanh nghiệp.</w:t>
      </w:r>
    </w:p>
    <w:bookmarkEnd w:id="48"/>
    <w:bookmarkStart w:id="52" w:name="hình-22--cơ-chế-cdcm-chi-tiết"/>
    <w:p>
      <w:pPr>
        <w:pStyle w:val="Heading5"/>
      </w:pPr>
      <w:r>
        <w:t xml:space="preserve">Hình 2.2 — Cơ chế CDCM chi tiết</w:t>
      </w:r>
    </w:p>
    <w:p>
      <w:pPr>
        <w:pStyle w:val="FirstParagraph"/>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Tier-1 là ràng buộc đo lường; tác động dương theo OLS nhưng biến mất sau hiệu chỉnh nội sinh biến công cụ (β = 0,018, p = 0,942; P3). Nhóm III (Trung Quốc, Upper-Middle/Emerging transition, bão hòa số trung bình): DAI Tier-1 phổ biến &gt;60%, mất khả năng phân biệt, giữ như biến kiểm soát không phải biến điều tiết (P5). Cơ chế này giải thích tại sao kết quả "DAI null" và "DAI dương" 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53"/>
    <w:bookmarkEnd w:id="54"/>
    <w:bookmarkStart w:id="63" w:name="X06e1038a517412390e729f6b4e28e81b8d64800"/>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và giảm dần theo chiều thể chế mạnh hơn: Nhóm I có</w:t>
      </w:r>
      <w:r>
        <w:t xml:space="preserve"> </w:t>
      </w:r>
      <w:r>
        <w:rPr>
          <w:bCs/>
          <w:b/>
        </w:rPr>
        <w:t xml:space="preserve">điểm uốn thấp nhất (~28%, P7 toàn mẫu)</w:t>
      </w:r>
      <w:r>
        <w:t xml:space="preserve">, thể chế mạnh giúp doanh nghiệp đạt đỉnh hiệu suất ở mức FSTS thấp hơn; Nhóm III có điểm uốn trung bình (47–49%); Nhóm IV có điểm uốn trung bình–thấp (39–46%); Nhóm V có điểm uốn cao (~50–55%). Nhóm VI có pattern gánh nặng tắt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gradient ICRV:</w:t>
      </w:r>
      <w:r>
        <w:t xml:space="preserve"> </w:t>
      </w:r>
      <w:r>
        <w:rPr>
          <w:bCs/>
          <w:b/>
        </w:rPr>
        <w:t xml:space="preserve">thấp nhất ở Nhóm I (~28%)</w:t>
      </w:r>
      <w:r>
        <w:t xml:space="preserve">, tăng dần qua Nhóm III (~47–49%) → Nhóm IV (~39–46%) → Nhóm V (~50–55%), với Nhóm VI có pattern gánh nặng tắt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I→P.</w:t>
      </w:r>
    </w:p>
    <w:p>
      <w:pPr>
        <w:pStyle w:val="BodyText"/>
      </w:pPr>
      <w:r>
        <w:t xml:space="preserve">H1b (biên cường độ, gần phẳng): Trong mẫu chỉ gồm doanh nghiệp xuất khẩu, đường cong I→P gần phẳng, tức là sau khi đã xuất khẩu, việc tăng cường độ tiếp theo không tạo thêm nhiều lợi ích năng suất nếu không có TCI và DAI đủ mạnh.</w:t>
      </w:r>
    </w:p>
    <w:bookmarkEnd w:id="56"/>
    <w:bookmarkStart w:id="57" w:name="h2--tci-điều-tiết-tích-cực-nâng-mặt-bằng"/>
    <w:p>
      <w:pPr>
        <w:pStyle w:val="Heading5"/>
      </w:pPr>
      <w:r>
        <w:t xml:space="preserve">H2 —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1c9c953fc89a4348f4f643e69b0c33ec6bd1f9d"/>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 Dự đoán tác động DAI theo 3 chiều ngữ cảnh.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tắt buộc (&gt;40%)</w:t>
            </w:r>
          </w:p>
        </w:tc>
        <w:tc>
          <w:tcPr/>
          <w:p>
            <w:pPr>
              <w:pStyle w:val="Compact"/>
              <w:jc w:val="left"/>
            </w:pPr>
            <w:r>
              <w:t xml:space="preserve">Thấp–trung</w:t>
            </w:r>
          </w:p>
        </w:tc>
        <w:tc>
          <w:tcPr/>
          <w:p>
            <w:pPr>
              <w:pStyle w:val="Compact"/>
              <w:jc w:val="left"/>
            </w:pPr>
            <w:r>
              <w:t xml:space="preserve">Gánh nặng tắt buộc trội</w:t>
            </w:r>
          </w:p>
        </w:tc>
        <w:tc>
          <w:tcPr/>
          <w:p>
            <w:pPr>
              <w:pStyle w:val="Compact"/>
              <w:jc w:val="left"/>
            </w:pPr>
            <w:r>
              <w:t xml:space="preserve">—</w:t>
            </w:r>
          </w:p>
        </w:tc>
        <w:tc>
          <w:tcPr/>
          <w:p>
            <w:pPr>
              <w:pStyle w:val="Compact"/>
              <w:jc w:val="left"/>
            </w:pPr>
            <w:r>
              <w:t xml:space="preserve">I→P gánh nặng tắt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 →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sub-hypothesis (CDCM distinctiveness hypothesis. H3c: β(TCI) ≠ β(DAI) và hai cấu trúc thỏa mãn tiêu chí discriminant validity).</w:t>
      </w:r>
    </w:p>
    <w:bookmarkEnd w:id="58"/>
    <w:bookmarkStart w:id="59" w:name="h4ah4c--đặc-điểm-nhà-quản-trị-điều-tiết"/>
    <w:p>
      <w:pPr>
        <w:pStyle w:val="Heading5"/>
      </w:pPr>
      <w:r>
        <w:t xml:space="preserve">H4a–H4c —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văn liệu Upper Echelons không đồng nhất về chiều hướng cho châu Á (Hambrick, 2007); H4c vì vậy là exploratory.</w:t>
      </w:r>
    </w:p>
    <w:p>
      <w:pPr>
        <w:pStyle w:val="BodyText"/>
      </w:pPr>
      <w:r>
        <w:t xml:space="preserve">Phạm vi kiểm định: H4a–H4b là biến đại diện (proxy) cho cơ chế Upper Echelons, kết quả là chỉ báo gián tiếp, không phải kiểm định trực tiếp cấu trúc lý thuyết gốc. Hạn chế này cần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~28% FSTS (P7 toàn mẫu)</w:t>
            </w:r>
          </w:p>
        </w:tc>
        <w:tc>
          <w:tcPr/>
          <w:p>
            <w:pPr>
              <w:pStyle w:val="Compact"/>
              <w:jc w:val="left"/>
            </w:pPr>
            <w:r>
              <w:t xml:space="preserve">P7 pooled (N=84,910): TP ~28% (thấp nhất); P4 Singapore TP ~88,6%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 trần thấp</w:t>
            </w:r>
          </w:p>
        </w:tc>
      </w:tr>
      <w:tr>
        <w:tc>
          <w:tcPr/>
          <w:p>
            <w:pPr>
              <w:pStyle w:val="Compact"/>
              <w:jc w:val="left"/>
            </w:pPr>
            <w:r>
              <w:t xml:space="preserve">Nhóm VI (SIDS)</w:t>
            </w:r>
          </w:p>
        </w:tc>
        <w:tc>
          <w:tcPr/>
          <w:p>
            <w:pPr>
              <w:pStyle w:val="Compact"/>
              <w:jc w:val="left"/>
            </w:pPr>
            <w:r>
              <w:t xml:space="preserve">Không có TP / gánh nặng tắt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 III → IV → V; Nhóm VI có pattern gánh nặng tắt buộc. Điểm uốn</w:t>
      </w:r>
      <w:r>
        <w:t xml:space="preserve"> </w:t>
      </w:r>
      <w:r>
        <w:rPr>
          <w:bCs/>
          <w:b/>
        </w:rPr>
        <w:t xml:space="preserve">giảm đơn điệu</w:t>
      </w:r>
      <w:r>
        <w:t xml:space="preserve"> </w:t>
      </w:r>
      <w:r>
        <w:t xml:space="preserve">theo gradient từ Nhóm V (~50–55%) xuống Nhóm I (~28%), thể chế càng mạnh, doanh nghiệp đạt đỉnh hiệu suất ở mức FSTS</w:t>
      </w:r>
      <w:r>
        <w:t xml:space="preserve"> </w:t>
      </w:r>
      <w:r>
        <w:rPr>
          <w:bCs/>
          <w:b/>
        </w:rPr>
        <w:t xml:space="preserve">thấp hơn</w:t>
      </w:r>
      <w:r>
        <w:t xml:space="preserve">, phản ánh chi phí giao dịch thấp và năng lực điều phối cao trong bối cảnh thể chế vững mạnh.</w:t>
      </w:r>
    </w:p>
    <w:bookmarkEnd w:id="60"/>
    <w:bookmarkStart w:id="61" w:name="h6--tính-không-đồng-nhất-theo-thời-gian"/>
    <w:p>
      <w:pPr>
        <w:pStyle w:val="Heading5"/>
      </w:pPr>
      <w:r>
        <w:t xml:space="preserve">H6 —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I→P dịch chuyển đáng kể. P5 Trung Quốc: TCI Paternoster p = 0,011, hiệu ứng TCI tăng cường 2012→2024. P5 Trung Quốc: FSTS Paternoster p = 0,545 —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Direct: null/–; cond: β(FSTS²×DAI)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tắt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Chín giả thuyết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Upper Echelons với dấu kỳ vọng phân biệt theo đặc điểm nhà quản trị;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Xddbf6d90ba3605bd9c97fdd0a837b1ed2b589e3"/>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r>
        <w:t xml:space="preserve">\begin{equation}</w:t>
      </w:r>
      <w:r>
        <w:t xml:space="preserve"> </w:t>
      </w:r>
      <w:r>
        <w:t xml:space="preserve">\ln(\mathrm{LP})_i = \beta_0 + \beta_1 \cdot \mathit{FSTS}_i + \boldsymbol{\gamma}'\mathbf{X}_i + \alpha_j + \delta_t + \varepsilon_i</w:t>
      </w:r>
      <w:r>
        <w:t xml:space="preserve"> </w:t>
      </w:r>
      <w:r>
        <w:t xml:space="preserve">\label{eq:M0}</w:t>
      </w:r>
      <w:r>
        <w:t xml:space="preserve"> </w:t>
      </w:r>
      <w:r>
        <w:t xml:space="preserve">\end{equation}</w:t>
      </w:r>
    </w:p>
    <w:p>
      <w:pPr>
        <w:pStyle w:val="BodyText"/>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\mathit{FSTS}_{c,i}^{2} + \boldsymbol{\gamma}'\mathbf{X}_i + \alpha_j + \delta_t + \varepsilon_i</w:t>
      </w:r>
      <w:r>
        <w:t xml:space="preserve"> </w:t>
      </w:r>
      <w:r>
        <w:t xml:space="preserve">\label{eq:M1}</w:t>
      </w:r>
      <w:r>
        <w:t xml:space="preserve"> </w:t>
      </w:r>
      <w:r>
        <w:t xml:space="preserve">\end{equation}</w:t>
      </w:r>
    </w:p>
    <w:p>
      <w:pPr>
        <w:pStyle w:val="BodyText"/>
      </w:pPr>
      <w:r>
        <w:t xml:space="preserve">Mục đích: kiểm định chữ U ngược trong H1, dạng hàm phổ biến nhất trong văn liệu.</w:t>
      </w:r>
      <w:r>
        <w:t xml:space="preserve"> </w:t>
      </w:r>
      <w:r>
        <w:t xml:space="preserve">Kỳ vọng: β₁ &gt; 0, β₂ &lt; 0.</w:t>
      </w:r>
      <w:r>
        <w:t xml:space="preserve"> </w:t>
      </w:r>
      <w:r>
        <w:t xml:space="preserve">Điểm uốn: TP₁ = −β₁/(2β₂),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 S-curve bậc ba (kiểm định H1 đầy đủ)</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w:t>
      </w:r>
      <w:r>
        <w:rPr>
          <w:iCs/>
          <w:i/>
        </w:rPr>
        <w:t xml:space="preserve">{c,i}^{2} + \beta_3 \cdot \mathit{FSTS}</w:t>
      </w:r>
      <w:r>
        <w:t xml:space="preserve">{c,i}^{3} + \boldsymbol{\gamma}'\mathbf{X}_i + \alpha_j + \delta_t + \varepsilon_i</w:t>
      </w:r>
      <w:r>
        <w:t xml:space="preserve"> </w:t>
      </w:r>
      <w:r>
        <w:t xml:space="preserve">\label{eq:M2}</w:t>
      </w:r>
      <w:r>
        <w:t xml:space="preserve"> </w:t>
      </w:r>
      <w:r>
        <w:t xml:space="preserve">\end{equation}</w:t>
      </w: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7"/>
    <w:bookmarkStart w:id="68" w:name="m3---điều-tiết-tci-kiểm-định-h2"/>
    <w:p>
      <w:pPr>
        <w:pStyle w:val="Heading5"/>
      </w:pPr>
      <w:r>
        <w:t xml:space="preserve">M3 — + Điều tiết TCI (kiểm định H2)</w:t>
      </w:r>
    </w:p>
    <w:p>
      <w:pPr>
        <w:pStyle w:val="FirstParagraph"/>
      </w:pPr>
      <w:r>
        <w:t xml:space="preserve">\begin{align}</w:t>
      </w:r>
      <w:r>
        <w:t xml:space="preserve"> </w:t>
      </w:r>
      <w:r>
        <w:t xml:space="preserve">\ln(\mathrm{LP})</w:t>
      </w:r>
      <w:r>
        <w:rPr>
          <w:iCs/>
          <w:i/>
        </w:rPr>
        <w:t xml:space="preserve">i &amp;= \underbrace{\beta_0 + \beta_1,\mathit{FSTS}</w:t>
      </w:r>
      <w:r>
        <w:t xml:space="preserve">{c,i} + \beta_2,\mathit{FSTS}</w:t>
      </w:r>
      <w:r>
        <w:rPr>
          <w:iCs/>
          <w:i/>
        </w:rPr>
        <w:t xml:space="preserve">{c,i}^{2}}</w:t>
      </w:r>
      <w:r>
        <w:t xml:space="preserve">{M1} \notag \</w:t>
      </w:r>
      <w:r>
        <w:t xml:space="preserve"> </w:t>
      </w:r>
      <w:r>
        <w:t xml:space="preserve">&amp;\quad + \beta_3 \cdot \mathrm{TCI}</w:t>
      </w:r>
      <w:r>
        <w:rPr>
          <w:iCs/>
          <w:i/>
        </w:rPr>
        <w:t xml:space="preserve">i + \beta_4 \cdot (\mathit{FSTS}</w:t>
      </w:r>
      <w:r>
        <w:t xml:space="preserve">{c,i} \times \mathrm{TCI}</w:t>
      </w:r>
      <w:r>
        <w:rPr>
          <w:iCs/>
          <w:i/>
        </w:rPr>
        <w:t xml:space="preserve">i) + \beta_5 \cdot (\mathit{FSTS}</w:t>
      </w:r>
      <w:r>
        <w:t xml:space="preserve">{c,i}^{2} \times \mathrm{TCI}_i) \notag \</w:t>
      </w:r>
      <w:r>
        <w:t xml:space="preserve"> </w:t>
      </w:r>
      <w:r>
        <w:t xml:space="preserve">&amp;\quad + \boldsymbol{\gamma}'\mathbf{X}_i + \alpha_j + \delta_t + \varepsilon_i</w:t>
      </w:r>
      <w:r>
        <w:t xml:space="preserve"> </w:t>
      </w:r>
      <w:r>
        <w:t xml:space="preserve">\label{eq:M3}</w:t>
      </w:r>
      <w:r>
        <w:t xml:space="preserve"> </w:t>
      </w:r>
      <w:r>
        <w:t xml:space="preserve">\end{align}</w:t>
      </w:r>
    </w:p>
    <w:p>
      <w:pPr>
        <w:pStyle w:val="BodyText"/>
      </w:pPr>
      <w:r>
        <w:t xml:space="preserve">Mục đích: kiểm định H2 —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 TCI là nâng mặt bằng thuần túy.</w:t>
      </w:r>
    </w:p>
    <w:bookmarkEnd w:id="68"/>
    <w:bookmarkStart w:id="69" w:name="m4---điều-tiết-dai-kiểm-định-h3"/>
    <w:p>
      <w:pPr>
        <w:pStyle w:val="Heading5"/>
      </w:pPr>
      <w:r>
        <w:t xml:space="preserve">M4 — + Điều tiết DAI (kiểm định H3)</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\mathrm{DAI}</w:t>
      </w:r>
      <w:r>
        <w:rPr>
          <w:iCs/>
          <w:i/>
        </w:rPr>
        <w:t xml:space="preserve">i + \beta_4 \cdot (\mathit{FSTS}</w:t>
      </w:r>
      <w:r>
        <w:t xml:space="preserve">{c,i} \times \mathrm{DAI}</w:t>
      </w:r>
      <w:r>
        <w:rPr>
          <w:iCs/>
          <w:i/>
        </w:rPr>
        <w:t xml:space="preserve">i) + \beta_5 \cdot (\mathit{FSTS}</w:t>
      </w:r>
      <w:r>
        <w:t xml:space="preserve">{c,i}^{2} \times \mathrm{DAI}_i) \notag \</w:t>
      </w:r>
      <w:r>
        <w:t xml:space="preserve"> </w:t>
      </w:r>
      <w:r>
        <w:t xml:space="preserve">&amp;\quad + \boldsymbol{\gamma}'\mathbf{X}_i + \alpha_j + \delta_t + \varepsilon_i</w:t>
      </w:r>
      <w:r>
        <w:t xml:space="preserve"> </w:t>
      </w:r>
      <w:r>
        <w:t xml:space="preserve">\label{eq:M4}</w:t>
      </w:r>
      <w:r>
        <w:t xml:space="preserve"> </w:t>
      </w:r>
      <w:r>
        <w:t xml:space="preserve">\end{align}</w:t>
      </w:r>
    </w:p>
    <w:p>
      <w:pPr>
        <w:pStyle w:val="BodyText"/>
      </w:pPr>
      <w:r>
        <w:t xml:space="preserve">Mục đích: kiểm định H3 — DAI là nguồn lực mở rộng tình huống.</w:t>
      </w:r>
      <w:r>
        <w:t xml:space="preserve"> </w:t>
      </w:r>
      <w:r>
        <w:t xml:space="preserve">Kỳ vọng: β₅(FSTS²×DAI) &gt; 0 trong Nhóm I (nhất quán P4 Singapore +3,119); β₃(DAI trực tiếp) →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06f71524788155e2ebf216bcee5f2e32a6c0cd5"/>
    <w:p>
      <w:pPr>
        <w:pStyle w:val="Heading5"/>
      </w:pPr>
      <w:r>
        <w:t xml:space="preserve">M5 — + Điều tiết nhà quản trị (kiểm định H4a/H4b/H4c)</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\mathit{Manager}</w:t>
      </w:r>
      <w:r>
        <w:rPr>
          <w:iCs/>
          <w:i/>
        </w:rPr>
        <w:t xml:space="preserve">i + \beta_4 \cdot (\mathit{FSTS}</w:t>
      </w:r>
      <w:r>
        <w:t xml:space="preserve">{c,i} \times \mathit{Manager}_i) \notag \</w:t>
      </w:r>
      <w:r>
        <w:t xml:space="preserve"> </w:t>
      </w:r>
      <w:r>
        <w:t xml:space="preserve">&amp;\quad + \boldsymbol{\gamma}'\mathbf{X}_i + \alpha_j + \delta_t + \varepsilon_i</w:t>
      </w:r>
      <w:r>
        <w:t xml:space="preserve"> </w:t>
      </w:r>
      <w:r>
        <w:t xml:space="preserve">\label{eq:M5}</w:t>
      </w:r>
      <w:r>
        <w:t xml:space="preserve"> </w:t>
      </w:r>
      <w:r>
        <w:t xml:space="preserve">\end{align}</w:t>
      </w:r>
    </w:p>
    <w:p>
      <w:pPr>
        <w:pStyle w:val="BodyText"/>
      </w:pPr>
      <w:r>
        <w:t xml:space="preserve">Biến Manager theo thứ tự ưu tiên: exp_manager (b5, H4a), biến chính với kỳ vọng β₄ &gt; 0; educ_manager (b7a, H4b), biến phụ với kỳ vọng β₄ &gt; 0; gender_manager (b7, H4c), khám phá, kiểm định two-sided.</w:t>
      </w:r>
      <w:r>
        <w:t xml:space="preserve"> </w:t>
      </w:r>
      <w:r>
        <w:t xml:space="preserve">Kỳ vọng: β₄(FSTS×exp_manager) &gt; 0 [H4a]; β₄(FSTS×educ_manager) &gt; 0 [H4b]; β₄(FSTS×gender_manager), không có kỳ vọng tiên nghiệm [H4c].</w:t>
      </w:r>
    </w:p>
    <w:bookmarkEnd w:id="70"/>
    <w:bookmarkStart w:id="71" w:name="m6---chế-độ-thể-chế-icrv-kiểm-định-h5"/>
    <w:p>
      <w:pPr>
        <w:pStyle w:val="Heading5"/>
      </w:pPr>
      <w:r>
        <w:t xml:space="preserve">M6 — + Chế độ thể chế ICRV (kiểm định H5)</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\sum_{j=2}^{6} \Bigl[\beta_{3j} \cdot \mathrm{ICRV}</w:t>
      </w:r>
      <w:r>
        <w:rPr>
          <w:iCs/>
          <w:i/>
        </w:rPr>
        <w:t xml:space="preserve">{j,i}</w:t>
      </w:r>
      <w:r>
        <w:rPr>
          <w:iCs/>
          <w:i/>
        </w:rPr>
        <w:t xml:space="preserve"> </w:t>
      </w:r>
      <w:r>
        <w:rPr>
          <w:iCs/>
          <w:i/>
        </w:rPr>
        <w:t xml:space="preserve">+ \beta</w:t>
      </w:r>
      <w:r>
        <w:t xml:space="preserve">{4j} \cdot (\mathit{FSTS}</w:t>
      </w:r>
      <w:r>
        <w:rPr>
          <w:iCs/>
          <w:i/>
        </w:rPr>
        <w:t xml:space="preserve">{c,i} \times \mathrm{ICRV}</w:t>
      </w:r>
      <w:r>
        <w:t xml:space="preserve">{j,i})</w:t>
      </w:r>
      <w:r>
        <w:t xml:space="preserve"> </w:t>
      </w:r>
      <w:r>
        <w:t xml:space="preserve">+ \beta_{5j} \cdot (\mathit{FSTS}</w:t>
      </w:r>
      <w:r>
        <w:rPr>
          <w:iCs/>
          <w:i/>
        </w:rPr>
        <w:t xml:space="preserve">{c,i}^{2} \times \mathrm{ICRV}</w:t>
      </w:r>
      <w:r>
        <w:t xml:space="preserve">{j,i})\Bigr] \notag \</w:t>
      </w:r>
      <w:r>
        <w:t xml:space="preserve"> </w:t>
      </w:r>
      <w:r>
        <w:t xml:space="preserve">&amp;\quad + \boldsymbol{\gamma}'\mathbf{X}_i + \delta_t + \varepsilon_i</w:t>
      </w:r>
      <w:r>
        <w:t xml:space="preserve"> </w:t>
      </w:r>
      <w:r>
        <w:t xml:space="preserve">\label{eq:M6}</w:t>
      </w:r>
      <w:r>
        <w:t xml:space="preserve"> </w:t>
      </w:r>
      <w:r>
        <w:t xml:space="preserve">\end{align}</w:t>
      </w:r>
    </w:p>
    <w:p>
      <w:pPr>
        <w:pStyle w:val="BodyText"/>
      </w:pPr>
      <w:r>
        <w:t xml:space="preserve">Mục đích: kiểm định H5, gradient ICRV và gánh nặng tắt buộc (Nhóm VI).</w:t>
      </w:r>
      <w:r>
        <w:t xml:space="preserve"> </w:t>
      </w:r>
      <w:r>
        <w:t xml:space="preserve">Nhóm tham chiếu: Nhóm I (tiên tiến đổi mới).</w:t>
      </w:r>
      <w:r>
        <w:t xml:space="preserve"> </w:t>
      </w:r>
      <w:r>
        <w:t xml:space="preserve">Kỳ vọng: điểm uốn giảm dần theo j (Nhóm II → III → IV → V → VI); Nhóm VI có β(FSTS×ICRV_VI) ≤ 0.</w:t>
      </w:r>
      <w:r>
        <w:t xml:space="preserve"> </w:t>
      </w:r>
      <w:r>
        <w:t xml:space="preserve">Lưu ý: Country FE bị omit trong M6 do ICRV_j là biến cấp quốc gia bất biến theo thời gian, thay bằng Year FE + Region FE (6 vùng).</w:t>
      </w:r>
    </w:p>
    <w:bookmarkEnd w:id="71"/>
    <w:bookmarkStart w:id="72" w:name="X6b4e30438e556ccb1a096b5b5260c191a2952a4"/>
    <w:p>
      <w:pPr>
        <w:pStyle w:val="Heading5"/>
      </w:pPr>
      <w:r>
        <w:t xml:space="preserve">M7 — Điều tiết ba chiều tổng lực (kiểm định H2 + H3 + H6 đồng thời)</w:t>
      </w:r>
    </w:p>
    <w:p>
      <w:pPr>
        <w:pStyle w:val="FirstParagraph"/>
      </w:pPr>
      <w:r>
        <w:t xml:space="preserve">\begin{align}</w:t>
      </w:r>
      <w:r>
        <w:t xml:space="preserve"> </w:t>
      </w:r>
      <w:r>
        <w:t xml:space="preserve">\ln(\mathrm{LP})</w:t>
      </w:r>
      <w:r>
        <w:rPr>
          <w:iCs/>
          <w:i/>
        </w:rPr>
        <w:t xml:space="preserve">i</w:t>
      </w:r>
      <w:r>
        <w:rPr>
          <w:iCs/>
          <w:i/>
        </w:rPr>
        <w:t xml:space="preserve"> </w:t>
      </w:r>
      <w:r>
        <w:rPr>
          <w:iCs/>
          <w:i/>
        </w:rPr>
        <w:t xml:space="preserve">&amp;= \beta_0 + \beta_1,\mathit{FSTS}</w:t>
      </w:r>
      <w:r>
        <w:t xml:space="preserve">{c,i} + \beta_2,\mathit{FSTS}</w:t>
      </w:r>
      <w:r>
        <w:rPr>
          <w:iCs/>
          <w:i/>
        </w:rPr>
        <w:t xml:space="preserve">{c,i}^{2}</w:t>
      </w:r>
      <w:r>
        <w:rPr>
          <w:iCs/>
          <w:i/>
        </w:rPr>
        <w:t xml:space="preserve"> </w:t>
      </w:r>
      <w:r>
        <w:rPr>
          <w:iCs/>
          <w:i/>
        </w:rPr>
        <w:t xml:space="preserve">+ \beta_3,\mathrm{TCI}</w:t>
      </w:r>
      <w:r>
        <w:rPr>
          <w:iCs/>
          <w:i/>
          <w:iCs/>
          <w:i/>
        </w:rPr>
        <w:t xml:space="preserve">i + \beta_4,\mathrm{DAI}</w:t>
      </w:r>
      <w:r>
        <w:rPr>
          <w:iCs/>
          <w:i/>
          <w:iCs/>
          <w:i/>
          <w:iCs/>
          <w:i/>
        </w:rPr>
        <w:t xml:space="preserve">i \notag \</w:t>
      </w:r>
      <w:r>
        <w:rPr>
          <w:iCs/>
          <w:i/>
          <w:iCs/>
          <w:i/>
          <w:iCs/>
          <w:i/>
        </w:rPr>
        <w:t xml:space="preserve"> </w:t>
      </w:r>
      <w:r>
        <w:rPr>
          <w:iCs/>
          <w:i/>
          <w:iCs/>
          <w:i/>
          <w:iCs/>
          <w:i/>
        </w:rPr>
        <w:t xml:space="preserve">&amp;\quad + \beta_5,(\mathit{FSTS}</w:t>
      </w:r>
      <w:r>
        <w:rPr>
          <w:iCs/>
          <w:i/>
          <w:iCs/>
          <w:i/>
        </w:rPr>
        <w:t xml:space="preserve">{c,i} \times \mathrm{TCI}</w:t>
      </w:r>
      <w:r>
        <w:rPr>
          <w:iCs/>
          <w:i/>
          <w:iCs/>
          <w:i/>
          <w:iCs/>
          <w:i/>
        </w:rPr>
        <w:t xml:space="preserve">i)</w:t>
      </w:r>
      <w:r>
        <w:rPr>
          <w:iCs/>
          <w:i/>
          <w:iCs/>
          <w:i/>
          <w:iCs/>
          <w:i/>
        </w:rPr>
        <w:t xml:space="preserve"> </w:t>
      </w:r>
      <w:r>
        <w:rPr>
          <w:iCs/>
          <w:i/>
          <w:iCs/>
          <w:i/>
          <w:iCs/>
          <w:i/>
        </w:rPr>
        <w:t xml:space="preserve">+ \beta_6,(\mathit{FSTS}</w:t>
      </w:r>
      <w:r>
        <w:rPr>
          <w:iCs/>
          <w:i/>
          <w:iCs/>
          <w:i/>
        </w:rPr>
        <w:t xml:space="preserve">{c,i}^{2} \times \mathrm{TCI}</w:t>
      </w:r>
      <w:r>
        <w:rPr>
          <w:iCs/>
          <w:i/>
          <w:iCs/>
          <w:i/>
          <w:iCs/>
          <w:i/>
        </w:rPr>
        <w:t xml:space="preserve">i) \notag \</w:t>
      </w:r>
      <w:r>
        <w:rPr>
          <w:iCs/>
          <w:i/>
          <w:iCs/>
          <w:i/>
          <w:iCs/>
          <w:i/>
        </w:rPr>
        <w:t xml:space="preserve"> </w:t>
      </w:r>
      <w:r>
        <w:rPr>
          <w:iCs/>
          <w:i/>
          <w:iCs/>
          <w:i/>
          <w:iCs/>
          <w:i/>
        </w:rPr>
        <w:t xml:space="preserve">&amp;\quad + \beta_7,(\mathit{FSTS}</w:t>
      </w:r>
      <w:r>
        <w:rPr>
          <w:iCs/>
          <w:i/>
          <w:iCs/>
          <w:i/>
        </w:rPr>
        <w:t xml:space="preserve">{c,i} \times \mathrm{DAI}</w:t>
      </w:r>
      <w:r>
        <w:rPr>
          <w:iCs/>
          <w:i/>
          <w:iCs/>
          <w:i/>
          <w:iCs/>
          <w:i/>
        </w:rPr>
        <w:t xml:space="preserve">i)</w:t>
      </w:r>
      <w:r>
        <w:rPr>
          <w:iCs/>
          <w:i/>
          <w:iCs/>
          <w:i/>
          <w:iCs/>
          <w:i/>
        </w:rPr>
        <w:t xml:space="preserve"> </w:t>
      </w:r>
      <w:r>
        <w:rPr>
          <w:iCs/>
          <w:i/>
          <w:iCs/>
          <w:i/>
          <w:iCs/>
          <w:i/>
        </w:rPr>
        <w:t xml:space="preserve">+ \beta_8,(\mathit{FSTS}</w:t>
      </w:r>
      <w:r>
        <w:rPr>
          <w:iCs/>
          <w:i/>
          <w:iCs/>
          <w:i/>
        </w:rPr>
        <w:t xml:space="preserve">{c,i}^{2} \times \mathrm{DAI}</w:t>
      </w:r>
      <w:r>
        <w:rPr>
          <w:iCs/>
          <w:i/>
          <w:iCs/>
          <w:i/>
          <w:iCs/>
          <w:i/>
        </w:rPr>
        <w:t xml:space="preserve">i) \notag \</w:t>
      </w:r>
      <w:r>
        <w:rPr>
          <w:iCs/>
          <w:i/>
          <w:iCs/>
          <w:i/>
          <w:iCs/>
          <w:i/>
        </w:rPr>
        <w:t xml:space="preserve"> </w:t>
      </w:r>
      <w:r>
        <w:rPr>
          <w:iCs/>
          <w:i/>
          <w:iCs/>
          <w:i/>
          <w:iCs/>
          <w:i/>
        </w:rPr>
        <w:t xml:space="preserve">&amp;\quad + \beta_9,(\mathit{FSTS}</w:t>
      </w:r>
      <w:r>
        <w:rPr>
          <w:iCs/>
          <w:i/>
          <w:iCs/>
          <w:i/>
        </w:rPr>
        <w:t xml:space="preserve">{c,i} \times \mathrm{TCI}</w:t>
      </w:r>
      <w:r>
        <w:rPr>
          <w:iCs/>
          <w:i/>
          <w:iCs/>
          <w:i/>
          <w:iCs/>
          <w:i/>
        </w:rPr>
        <w:t xml:space="preserve">i \times \mathrm{DAI}</w:t>
      </w:r>
      <w:r>
        <w:rPr>
          <w:iCs/>
          <w:i/>
          <w:iCs/>
          <w:i/>
          <w:iCs/>
          <w:i/>
          <w:iCs/>
          <w:i/>
        </w:rPr>
        <w:t xml:space="preserve">i) \notag \</w:t>
      </w:r>
      <w:r>
        <w:rPr>
          <w:iCs/>
          <w:i/>
          <w:iCs/>
          <w:i/>
          <w:iCs/>
          <w:i/>
          <w:iCs/>
          <w:i/>
        </w:rPr>
        <w:t xml:space="preserve"> </w:t>
      </w:r>
      <w:r>
        <w:rPr>
          <w:iCs/>
          <w:i/>
          <w:iCs/>
          <w:i/>
          <w:iCs/>
          <w:i/>
          <w:iCs/>
          <w:i/>
        </w:rPr>
        <w:t xml:space="preserve">&amp;\quad + \beta</w:t>
      </w:r>
      <w:r>
        <w:rPr>
          <w:iCs/>
          <w:i/>
          <w:iCs/>
          <w:i/>
          <w:iCs/>
          <w:i/>
        </w:rPr>
        <w:t xml:space="preserve">{10},(\mathit{FSTS}</w:t>
      </w:r>
      <w:r>
        <w:rPr>
          <w:iCs/>
          <w:i/>
          <w:iCs/>
          <w:i/>
        </w:rPr>
        <w:t xml:space="preserve">{c,i} \times YB</w:t>
      </w:r>
      <w:r>
        <w:rPr>
          <w:iCs/>
          <w:i/>
        </w:rPr>
        <w:t xml:space="preserve">{2013\text{-}17,i})</w:t>
      </w:r>
      <w:r>
        <w:rPr>
          <w:iCs/>
          <w:i/>
        </w:rPr>
        <w:t xml:space="preserve"> </w:t>
      </w:r>
      <w:r>
        <w:rPr>
          <w:iCs/>
          <w:i/>
        </w:rPr>
        <w:t xml:space="preserve">+ \beta</w:t>
      </w:r>
      <w:r>
        <w:t xml:space="preserve">{11},(\mathit{FSTS}</w:t>
      </w:r>
      <w:r>
        <w:rPr>
          <w:iCs/>
          <w:i/>
        </w:rPr>
        <w:t xml:space="preserve">{c,i}^{2} \times YB</w:t>
      </w:r>
      <w:r>
        <w:t xml:space="preserve">{2013\text{-}17,i}) \notag \</w:t>
      </w:r>
      <w:r>
        <w:t xml:space="preserve"> </w:t>
      </w:r>
      <w:r>
        <w:t xml:space="preserve">&amp;\quad + \beta_{12},(\mathit{FSTS}</w:t>
      </w:r>
      <w:r>
        <w:rPr>
          <w:iCs/>
          <w:i/>
        </w:rPr>
        <w:t xml:space="preserve">{c,i} \times YB</w:t>
      </w:r>
      <w:r>
        <w:t xml:space="preserve">{2018\text{-}25,i})</w:t>
      </w:r>
      <w:r>
        <w:t xml:space="preserve"> </w:t>
      </w:r>
      <w:r>
        <w:t xml:space="preserve">+ \beta_{13},(\mathit{FSTS}</w:t>
      </w:r>
      <w:r>
        <w:rPr>
          <w:iCs/>
          <w:i/>
        </w:rPr>
        <w:t xml:space="preserve">{c,i}^{2} \times YB</w:t>
      </w:r>
      <w:r>
        <w:t xml:space="preserve">{2018\text{-}25,i}) \notag \</w:t>
      </w:r>
      <w:r>
        <w:t xml:space="preserve"> </w:t>
      </w:r>
      <w:r>
        <w:t xml:space="preserve">&amp;\quad + \boldsymbol{\gamma}'\mathbf{X}_i + \alpha_j + \delta_t + \varepsilon_i</w:t>
      </w:r>
      <w:r>
        <w:t xml:space="preserve"> </w:t>
      </w:r>
      <w:r>
        <w:t xml:space="preserve">\label{eq:M7}</w:t>
      </w:r>
      <w:r>
        <w:t xml:space="preserve"> </w:t>
      </w:r>
      <w:r>
        <w:t xml:space="preserve">\end{align}</w:t>
      </w: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dễ dàng đáp ứng với pool 101.185.</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H3a/H3b</w:t>
            </w:r>
          </w:p>
        </w:tc>
        <w:tc>
          <w:tcPr/>
          <w:p>
            <w:pPr>
              <w:pStyle w:val="Compact"/>
              <w:jc w:val="left"/>
            </w:pPr>
            <w:r>
              <w:t xml:space="preserve">H3a: β(FSTS×DAI) &gt; 0 Nhóm III–V; H3b: β(FSTS²×DAI)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tắt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Xe1509b929c4d29ab07808a468654fc0b0b85d99"/>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 FSTS².</w:t>
      </w:r>
    </w:p>
    <w:p>
      <w:pPr>
        <w:pStyle w:val="BodyText"/>
      </w:pPr>
      <w:r>
        <w:t xml:space="preserve">Bảng 2.9. Đo lường TCI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w:t>
      </w:r>
    </w:p>
    <w:p>
      <w:pPr>
        <w:pStyle w:val="BodyText"/>
      </w:pPr>
      <w:r>
        <w:t xml:space="preserve">Bảng 2.10. Đo lường DAI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 đặc điểm và tiêu chí.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tắt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P8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±15% trong ≥3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X784a621f97d84d1234604adf730450e02e3ef35"/>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 "xác nhận mạnh". Nếu chỉ 2–3/6 nhóm nhất quán, kết quả là "hỗ trợ có điều kiện". Nếu &lt; 2/6 nhóm nhất quán, kết quả cần tái xem xét và không được tuyên bố giả thuyết được xác nhận.</w:t>
      </w:r>
    </w:p>
    <w:bookmarkEnd w:id="80"/>
    <w:bookmarkStart w:id="84" w:name="X0dab72e42c14670f7b3d769166e27ff618c9551"/>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văn liệu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 điều mà các mô hình đơn lý thuyết không làm được.</w:t>
      </w:r>
    </w:p>
    <w:p>
      <w:pPr>
        <w:pStyle w:val="BodyText"/>
      </w:pPr>
      <w:r>
        <w:t xml:space="preserve">Đóng góp 2: CDCM —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văn liệu.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 được tích hợp vào H5 như dự đoán lý thuyết: cùng GNI/người cao nhưng cơ chế I→P khác nhau do nguồn lực dẫn dắt khác nhau.</w:t>
      </w:r>
    </w:p>
    <w:p>
      <w:pPr>
        <w:pStyle w:val="BodyText"/>
      </w:pPr>
      <w:r>
        <w:t xml:space="preserve">Đóng góp 4: Giả thuyết gánh nặng tắt buộc trong khung I→P. Dạng hàm forced penalty (SIDS Nhóm VI) được tích hợp vào H5 như trường hợp cực đoan của gradient thể chế — SIDS không có chữ U ngược điển hình do quốc tế hóa bắt buộc (Briguglio, 1995). Tích hợp này mở rộng văn liệu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cho phép kiểm tra xem TCI và DAI là bổ sung hay thay thế trong điều tiết I→P.</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tắt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X3e03e0a730be87d669f079340c35b479d0b1a1b"/>
    <w:p>
      <w:pPr>
        <w:pStyle w:val="Heading3"/>
      </w:pPr>
      <w:r>
        <w:t xml:space="preserve">2.4 Kết luận và đề xuất</w:t>
      </w:r>
    </w:p>
    <w:bookmarkStart w:id="86" w:name="X2348ba230572cbe65b0d5b739c22f4e83186482"/>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H3a (DAI Emerging/Frontier) khám phá; H3b (DAI Advanced) β(FSTS²×DAI) dương trong Nhóm I (P4 xác nhận), null/phụ thuộc chọn lựa trong Nhóm IV (P3 IV null); H4a (Kinh nghiệm QL) exp_manager×FSTS dương; H4b (Học vấn QL) educ_manager×FSTS dương; H4c (Giới tính) exploratory; H5 (ICRV gradient) điểm uốn gradient từ Nhóm I đến VI, Nhóm VI gánh nặng tắt buộc; H6 (Thời gian) DAI dịch chuyển 2009→2023,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d817586c1cd13f8a893b8cdf4a29f85d5fe00a8"/>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7"/>
    <w:bookmarkStart w:id="88" w:name="Xc14c8adf4a1440a86a0b4da5fa92c77edd50b1b"/>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lockText"/>
      </w:pPr>
      <w:r>
        <w:rPr>
          <w:bCs/>
          <w:b/>
        </w:rPr>
        <w:t xml:space="preserve">[CHÚ THÍCH: Phần này chứa số liệu P6 meta-analysis sẽ được CẬP NHẬT sau khi chạy lại pipeline P6.]</w:t>
      </w:r>
      <w:r>
        <w:t xml:space="preserve"> </w:t>
      </w:r>
      <w:r>
        <w:t xml:space="preserve">Các giá trị hiện tại (k=238, K=288 effect sizes, pooled r=0,074, ICRV Q_M=17,35, τ=−0,134, k=58 imputed, r_adj=0,035) là ước lượng từ baseline; sẽ thay bằng kết quả MARA cuối cùng khi pipeline P6 (workflows</w:t>
      </w:r>
      <w:r>
        <w:t xml:space="preserve"> </w:t>
      </w:r>
      <w:r>
        <w:rPr>
          <w:rStyle w:val="VerbatimChar"/>
        </w:rPr>
        <w:t xml:space="preserve">pdf_download_extract.yml</w:t>
      </w:r>
      <w:r>
        <w:t xml:space="preserve"> </w:t>
      </w:r>
      <w:r>
        <w:t xml:space="preserve">+</w:t>
      </w:r>
      <w:r>
        <w:t xml:space="preserve"> </w:t>
      </w:r>
      <w:r>
        <w:rPr>
          <w:rStyle w:val="VerbatimChar"/>
        </w:rPr>
        <w:t xml:space="preserve">41_auto_extract_from_pdfs.py</w:t>
      </w:r>
      <w:r>
        <w:t xml:space="preserve"> </w:t>
      </w:r>
      <w:r>
        <w:t xml:space="preserve">+ R</w:t>
      </w:r>
      <w:r>
        <w:t xml:space="preserve"> </w:t>
      </w:r>
      <w:r>
        <w:rPr>
          <w:rStyle w:val="VerbatimChar"/>
        </w:rPr>
        <w:t xml:space="preserve">compute_reliability.R</w:t>
      </w:r>
      <w:r>
        <w:t xml:space="preserve">) hoàn tất.</w:t>
      </w:r>
    </w:p>
    <w:p>
      <w:pPr>
        <w:pStyle w:val="FirstParagraph"/>
      </w:pPr>
      <w:r>
        <w:rPr>
          <w:bCs/>
          <w:b/>
        </w:rPr>
        <w:t xml:space="preserve">Hướng 1 — P6: Tổng quan định lượng ba tầng (three-level MARA, IBR under review):</w:t>
      </w:r>
      <w:r>
        <w:t xml:space="preserve"> </w:t>
      </w:r>
      <w:r>
        <w:t xml:space="preserve">Bản thảo P6 đã hoàn thành, mở rộng ICBEF 2025 baseline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 I²=62,4%; ICRV Q_M=17,35 (p=.002). H1 điều tiết thể chế được hỗ trợ; cDAI và DPL không có ý nghĩa (H2, H3 không được hỗ trợ). Phát hiện chính: publication bias xác nhận qua Begg–Mazumdar τ=−0,134 (p=.0007), trim-and-fill k=58 imputed,</w:t>
      </w:r>
      <w:r>
        <w:t xml:space="preserve"> </w:t>
      </w:r>
      <w:r>
        <w:rPr>
          <w:iCs/>
          <w:i/>
        </w:rPr>
        <w:t xml:space="preserve">r</w:t>
      </w:r>
      <w:r>
        <w:t xml:space="preserve">_adj=0,035, pooled effect thực tế thấp hơn khoảng 50% so với ước lượng thô. Đóng góp của P6 trong khuôn khổ CD2 (số liệu PENDING cho lần chạy P6 cuối): xác nhận gradient ICRV tổng thể (Q_M có ý nghĩa) nhưng không đủ k ở mỗi nhóm để xác nhận đường gradient đơn điệu E1a/E1b.</w:t>
      </w:r>
    </w:p>
    <w:p>
      <w:pPr>
        <w:pStyle w:val="BodyText"/>
      </w:pPr>
      <w:r>
        <w:rPr>
          <w:bCs/>
          <w:b/>
        </w:rPr>
        <w:t xml:space="preserve">Hướng 2, P7: Kiểm định H1–H6 toàn pool 49 nền kinh tế (JIBS, under revision):</w:t>
      </w:r>
      <w:r>
        <w:t xml:space="preserve"> </w:t>
      </w:r>
      <w:r>
        <w:t xml:space="preserve">P7 đã hoàn thành, N=84,910–91,982 doanh nghiệp, 49 nền kinh tế châu Á và Thái Bình Dương, 102 country-year waves, 6 nhóm ICRV. Kết quả xác nhận: H1 (phi tuyến) TP≈36%; H2 TCI level effect β≈+0.344 (p&lt;.05); H3 DAI universal level effect β=+0.155 (p&lt;.001) + cả hai curvature interactions; H5 ICRV gradient. TP</w:t>
      </w:r>
      <w:r>
        <w:t xml:space="preserve"> </w:t>
      </w:r>
      <w:r>
        <w:rPr>
          <w:bCs/>
          <w:b/>
        </w:rPr>
        <w:t xml:space="preserve">giảm</w:t>
      </w:r>
      <w:r>
        <w:t xml:space="preserve"> </w:t>
      </w:r>
      <w:r>
        <w:t xml:space="preserve">từ SIDS/Frontier (~55%) xuống Advanced Innovation (~28%); DAI×ICRV p=.012 (digital shield strongest khi thể chế yếu). P3 (Nhóm IV), P4 (Nhóm I), P5 (Nhóm III) cung cấp neo đậu cross-context đã được xác nhận bởi pooled 49-economy results.</w:t>
      </w:r>
    </w:p>
    <w:p>
      <w:pPr>
        <w:pStyle w:val="BodyText"/>
      </w:pPr>
      <w:r>
        <w:rPr>
          <w:bCs/>
          <w:b/>
        </w:rPr>
        <w:t xml:space="preserve">Hướng 3, P8: SIDS Thái Bình Dương, gánh nặng tắt buộc (World Development, under revision):</w:t>
      </w:r>
      <w:r>
        <w:t xml:space="preserve"> </w:t>
      </w:r>
      <w:r>
        <w:t xml:space="preserve">P8 đã hoàn thành.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tắt buộc (Briguglio, 1995; Bertram, 2006). Khoảng trống H1b trong CD2 đã được lấp đầy bởi P8.</w:t>
      </w:r>
    </w:p>
    <w:p>
      <w:pPr>
        <w:pStyle w:val="BodyText"/>
      </w:pPr>
      <w:r>
        <w:rPr>
          <w:bCs/>
          <w:b/>
        </w:rPr>
        <w:t xml:space="preserve">Hướng 4 —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TCI→năng suất và DAI→FSTS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124"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9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92">
        <w:r>
          <w:rPr>
            <w:rStyle w:val="Hyperlink"/>
          </w:rPr>
          <w:t xml:space="preserve">https://doi.org/10.1177/014920639101700108</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93">
        <w:r>
          <w:rPr>
            <w:rStyle w:val="Hyperlink"/>
          </w:rPr>
          <w:t xml:space="preserve">https://doi.org/10.25300/MISQ/2013/37:2.3</w:t>
        </w:r>
      </w:hyperlink>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94">
        <w:r>
          <w:rPr>
            <w:rStyle w:val="Hyperlink"/>
          </w:rPr>
          <w:t xml:space="preserve">https://doi.org/10.1016/0305-750X(95)00065-K</w:t>
        </w:r>
      </w:hyperlink>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w:t>
      </w:r>
      <w:r>
        <w:t xml:space="preserve"> </w:t>
      </w:r>
      <w:hyperlink r:id="rId95">
        <w:r>
          <w:rPr>
            <w:rStyle w:val="Hyperlink"/>
          </w:rPr>
          <w:t xml:space="preserve">https://doi.org/10.5465/amj.2008.33665310</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96">
        <w:r>
          <w:rPr>
            <w:rStyle w:val="Hyperlink"/>
          </w:rPr>
          <w:t xml:space="preserve">https://doi.org/10.1016/j.jwb.2010.10.019</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7">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98">
        <w:r>
          <w:rPr>
            <w:rStyle w:val="Hyperlink"/>
          </w:rPr>
          <w:t xml:space="preserve">https://doi.org/10.1016/j.jbusres.2008.01.013</w:t>
        </w:r>
      </w:hyperlink>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99">
        <w:r>
          <w:rPr>
            <w:rStyle w:val="Hyperlink"/>
          </w:rPr>
          <w:t xml:space="preserve">https://doi.org/10.1057/palgrave.jibs.8400003</w:t>
        </w:r>
      </w:hyperlink>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100">
        <w:r>
          <w:rPr>
            <w:rStyle w:val="Hyperlink"/>
          </w:rPr>
          <w:t xml:space="preserve">https://doi.org/10.1057/palgrave.jibs.8490065</w:t>
        </w:r>
      </w:hyperlink>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101">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102">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103">
        <w:r>
          <w:rPr>
            <w:rStyle w:val="Hyperlink"/>
          </w:rPr>
          <w:t xml:space="preserve">https://doi.org/10.2307/256948</w:t>
        </w:r>
      </w:hyperlink>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104">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105">
        <w:r>
          <w:rPr>
            <w:rStyle w:val="Hyperlink"/>
          </w:rPr>
          <w:t xml:space="preserve">https://doi.org/10.1057/jibs.2009.24</w:t>
        </w:r>
      </w:hyperlink>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w:t>
      </w:r>
      <w:r>
        <w:t xml:space="preserve"> </w:t>
      </w:r>
      <w:hyperlink r:id="rId106">
        <w:r>
          <w:rPr>
            <w:rStyle w:val="Hyperlink"/>
          </w:rPr>
          <w:t xml:space="preserve">https://doi.org/10.1002/gsj.1433</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w:t>
      </w:r>
      <w:r>
        <w:t xml:space="preserve"> </w:t>
      </w:r>
      <w:hyperlink r:id="rId107">
        <w:r>
          <w:rPr>
            <w:rStyle w:val="Hyperlink"/>
          </w:rPr>
          <w:t xml:space="preserve">https://doi.org/10.5465/amj.2009.0703</w:t>
        </w:r>
      </w:hyperlink>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8">
        <w:r>
          <w:rPr>
            <w:rStyle w:val="Hyperlink"/>
          </w:rPr>
          <w:t xml:space="preserve">https://doi.org/10.1016/0305-750X(92)90097-F</w:t>
        </w:r>
      </w:hyperlink>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9">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110">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11">
        <w:r>
          <w:rPr>
            <w:rStyle w:val="Hyperlink"/>
          </w:rPr>
          <w:t xml:space="preserve">https://doi.org/10.2307/20159604</w:t>
        </w:r>
      </w:hyperlink>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12">
        <w:r>
          <w:rPr>
            <w:rStyle w:val="Hyperlink"/>
          </w:rPr>
          <w:t xml:space="preserve">https://doi.org/10.1177/0149206316648proper</w:t>
        </w:r>
      </w:hyperlink>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w:t>
      </w:r>
      <w:r>
        <w:t xml:space="preserve"> </w:t>
      </w:r>
      <w:hyperlink r:id="rId113">
        <w:r>
          <w:rPr>
            <w:rStyle w:val="Hyperlink"/>
          </w:rPr>
          <w:t xml:space="preserve">https://doi.org/10.1016/j.jwb.2010.05.003</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114">
        <w:r>
          <w:rPr>
            <w:rStyle w:val="Hyperlink"/>
          </w:rPr>
          <w:t xml:space="preserve">https://doi.org/10.1017/CBO9780511808678</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5">
        <w:r>
          <w:rPr>
            <w:rStyle w:val="Hyperlink"/>
          </w:rPr>
          <w:t xml:space="preserve">https://doi.org/10.1111/j.1745-9125.1998.tb01268.x</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116">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117">
        <w:r>
          <w:rPr>
            <w:rStyle w:val="Hyperlink"/>
          </w:rPr>
          <w:t xml:space="preserve">https://doi.org/10.1057/palgrave.jibs.8400377</w:t>
        </w:r>
      </w:hyperlink>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w:t>
      </w:r>
      <w:r>
        <w:t xml:space="preserve"> </w:t>
      </w:r>
      <w:hyperlink r:id="rId118">
        <w:r>
          <w:rPr>
            <w:rStyle w:val="Hyperlink"/>
          </w:rPr>
          <w:t xml:space="preserve">https://doi.org/10.3368/jhr.50.2.301</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9">
        <w:r>
          <w:rPr>
            <w:rStyle w:val="Hyperlink"/>
          </w:rPr>
          <w:t xml:space="preserve">https://doi.org/10.1002/gsj.1336</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121">
        <w:r>
          <w:rPr>
            <w:rStyle w:val="Hyperlink"/>
          </w:rPr>
          <w:t xml:space="preserve">https://doi.org/10.1002/smj.4250050207</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r>
        <w:t xml:space="preserve"> </w:t>
      </w:r>
      <w:hyperlink r:id="rId122">
        <w:r>
          <w:rPr>
            <w:rStyle w:val="Hyperlink"/>
          </w:rPr>
          <w:t xml:space="preserve">https://doi.org/10.1007/s11575-022-00462-x</w:t>
        </w:r>
      </w:hyperlink>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r>
        <w:t xml:space="preserve"> </w:t>
      </w:r>
      <w:hyperlink r:id="rId123">
        <w:r>
          <w:rPr>
            <w:rStyle w:val="Hyperlink"/>
          </w:rPr>
          <w:t xml:space="preserve">https://doi.org/10.1016/j.intman.2013.01.003</w:t>
        </w:r>
      </w:hyperlink>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124"/>
    <w:bookmarkStart w:id="129" w:name="phụ-lục"/>
    <w:p>
      <w:pPr>
        <w:pStyle w:val="Heading2"/>
      </w:pPr>
      <w:r>
        <w:t xml:space="preserve">PHỤ LỤC</w:t>
      </w:r>
    </w:p>
    <w:bookmarkStart w:id="125" w:name="X2ea52842c06e0496eaa899ccd5db2777360b638"/>
    <w:p>
      <w:pPr>
        <w:pStyle w:val="Heading3"/>
      </w:pPr>
      <w:r>
        <w:t xml:space="preserve">Phụ lục A — Danh sách 47 nền kinh tế theo nhóm ICRV</w:t>
      </w:r>
    </w:p>
    <w:p>
      <w:pPr>
        <w:pStyle w:val="FirstParagraph"/>
      </w:pPr>
      <w:r>
        <w:t xml:space="preserve">ICRV Nhóm I — Tiên tiến đổi mới sáng tạo dẫn dắt (5 nền kinh tế):</w:t>
      </w:r>
      <w:r>
        <w:t xml:space="preserve"> </w:t>
      </w:r>
      <w:r>
        <w:t xml:space="preserve">Singapore, Hong Kong SAR, Hàn Quốc, Đài Loan, Israel.</w:t>
      </w:r>
    </w:p>
    <w:p>
      <w:pPr>
        <w:pStyle w:val="BodyText"/>
      </w:pPr>
      <w:r>
        <w:t xml:space="preserve">ICRV Nhóm II — Tiên tiến tài nguyên dẫn dắt (5 nền kinh tế):</w:t>
      </w:r>
      <w:r>
        <w:t xml:space="preserve"> </w:t>
      </w:r>
      <w:r>
        <w:t xml:space="preserve">Saudi Arabia, Qatar, Kuwait, Bahrain, Brunei.</w:t>
      </w:r>
    </w:p>
    <w:p>
      <w:pPr>
        <w:pStyle w:val="BodyText"/>
      </w:pPr>
      <w:r>
        <w:t xml:space="preserve">ICRV Nhóm III — Trung bình cao (6 nền kinh tế):</w:t>
      </w:r>
      <w:r>
        <w:t xml:space="preserve"> </w:t>
      </w:r>
      <w:r>
        <w:t xml:space="preserve">Trung Quốc, Malaysia, Thái Lan, Kazakhstan, Armenia, Georgia.</w:t>
      </w:r>
    </w:p>
    <w:p>
      <w:pPr>
        <w:pStyle w:val="BodyText"/>
      </w:pPr>
      <w:r>
        <w:t xml:space="preserve">ICRV Nhóm IV — Đang nổi (7 nền kinh tế):</w:t>
      </w:r>
      <w:r>
        <w:t xml:space="preserve"> </w:t>
      </w:r>
      <w:r>
        <w:t xml:space="preserve">Việt Nam, Indonesia, Philippines, Ấn Độ, Sri Lanka, Jordan, Mông Cổ.</w:t>
      </w:r>
    </w:p>
    <w:p>
      <w:pPr>
        <w:pStyle w:val="BodyText"/>
      </w:pPr>
      <w:r>
        <w:t xml:space="preserve">ICRV Nhóm V —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P8 dùng bộ lọc WBES SIDS_small gồm 9 nước, bổ sung thêm Comoros và Timor-Leste.)</w:t>
      </w:r>
    </w:p>
    <w:p>
      <w:pPr>
        <w:pStyle w:val="BodyText"/>
      </w:pPr>
      <w:r>
        <w:t xml:space="preserve">Tổng: 5 + 5 + 6 + 7 + 17 + 7 = 47 nền kinh tế.</w:t>
      </w:r>
    </w:p>
    <w:bookmarkEnd w:id="125"/>
    <w:bookmarkStart w:id="126" w:name="phụ-lục-b--tóm-tắt-ba-bản-thảo-đồng-hành"/>
    <w:p>
      <w:pPr>
        <w:pStyle w:val="Heading3"/>
      </w:pPr>
      <w:r>
        <w:t xml:space="preserve">Phụ lục B — Tóm tắt ba bản thảo đồng hành</w:t>
      </w:r>
    </w:p>
    <w:p>
      <w:pPr>
        <w:pStyle w:val="FirstParagraph"/>
      </w:pPr>
      <w:r>
        <w:t xml:space="preserve">P3. Việt Nam (JABS, under review):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(MIR, under review): Mar, K. S., Đỗ, T. H., &amp; Phan, A. T. (2026). Phân tích 623 doanh nghiệp WBES 2023. Kết quả chính: đường cong I→P chủ yếu dương; điểm uốn hàm ý ~88,6% (vùng thưa dữ liệu; Lind–Mehlum p = 0,303); DAI×FSTS² = +3,119 (p = 0,005). DAI là nguồn lực mở rộng tình huống; TCI β = 0,153.</w:t>
      </w:r>
    </w:p>
    <w:p>
      <w:pPr>
        <w:pStyle w:val="BodyText"/>
      </w:pPr>
      <w:r>
        <w:t xml:space="preserve">P5. Trung Quốc (IJOEM, under review): Đỗ, T. H., &amp; Phan, A. T. (2026). Phân tích 4.559 doanh nghiệp WBES hai sóng 2012/2024. Kết quả chính: chữ U ngược bền vững cấu trúc — điểm uốn 49,4% (2012), 47,2% (2024), Paternoster FSTS² p = 0,545 (không có sự khác biệt đáng kể); TCI tăng cường theo thời gian (+0,260 → +0,426, Paternoster p = 0,011).</w:t>
      </w:r>
    </w:p>
    <w:bookmarkEnd w:id="126"/>
    <w:bookmarkStart w:id="127" w:name="phụ-lục-c--quy-ước-báo-cáo-thống-kê"/>
    <w:p>
      <w:pPr>
        <w:pStyle w:val="Heading3"/>
      </w:pPr>
      <w:r>
        <w:t xml:space="preserve">Phụ lục C —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127"/>
    <w:bookmarkStart w:id="128" w:name="Xd529ac992b128dceb2ea262f8c2f50bab89d9c2"/>
    <w:p>
      <w:pPr>
        <w:pStyle w:val="Heading3"/>
      </w:pPr>
      <w:r>
        <w:t xml:space="preserve">Phụ lục D —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Pool 47 quốc gia × 5 ngành chính ≈ 235 </w:t>
      </w:r>
      <w:r>
        <w:rPr>
          <w:rStyle w:val="KeywordTok"/>
        </w:rPr>
        <w:t xml:space="preserve">cluster</w:t>
      </w:r>
      <w:r>
        <w:rPr>
          <w:rStyle w:val="NormalTok"/>
        </w:rPr>
        <w:t xml:space="preserve"> →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128"/>
    <w:bookmarkEnd w:id="129"/>
    <w:bookmarkEnd w:id="13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19" Target="https://doi.org/10.1002/gsj.1336" TargetMode="External" /><Relationship Type="http://schemas.openxmlformats.org/officeDocument/2006/relationships/hyperlink" Id="rId106" Target="https://doi.org/10.1002/gsj.1433" TargetMode="External" /><Relationship Type="http://schemas.openxmlformats.org/officeDocument/2006/relationships/hyperlink" Id="rId121" Target="https://doi.org/10.1002/smj.4250050207" TargetMode="External" /><Relationship Type="http://schemas.openxmlformats.org/officeDocument/2006/relationships/hyperlink" Id="rId122" Target="https://doi.org/10.1007/s11575-022-00462-x" TargetMode="External" /><Relationship Type="http://schemas.openxmlformats.org/officeDocument/2006/relationships/hyperlink" Id="rId108"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3" Target="https://doi.org/10.1016/j.intman.2013.01.003" TargetMode="External" /><Relationship Type="http://schemas.openxmlformats.org/officeDocument/2006/relationships/hyperlink" Id="rId98" Target="https://doi.org/10.1016/j.jbusres.2008.01.013" TargetMode="External" /><Relationship Type="http://schemas.openxmlformats.org/officeDocument/2006/relationships/hyperlink" Id="rId120" Target="https://doi.org/10.1016/j.jbusres.2019.09.022" TargetMode="External" /><Relationship Type="http://schemas.openxmlformats.org/officeDocument/2006/relationships/hyperlink" Id="rId113"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4" Target="https://doi.org/10.1017/CBO9780511808678" TargetMode="External" /><Relationship Type="http://schemas.openxmlformats.org/officeDocument/2006/relationships/hyperlink" Id="rId105"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7" Target="https://doi.org/10.1057/palgrave.jibs.8400377" TargetMode="External" /><Relationship Type="http://schemas.openxmlformats.org/officeDocument/2006/relationships/hyperlink" Id="rId100" Target="https://doi.org/10.1057/palgrave.jibs.8490065" TargetMode="External" /><Relationship Type="http://schemas.openxmlformats.org/officeDocument/2006/relationships/hyperlink" Id="rId104"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0" Target="https://doi.org/10.1080/00031305.2000.10474549" TargetMode="External" /><Relationship Type="http://schemas.openxmlformats.org/officeDocument/2006/relationships/hyperlink" Id="rId109" Target="https://doi.org/10.1111/j.1468-0084.2009.00569.x" TargetMode="External" /><Relationship Type="http://schemas.openxmlformats.org/officeDocument/2006/relationships/hyperlink" Id="rId115" Target="https://doi.org/10.1111/j.1745-9125.1998.tb01268.x" TargetMode="External" /><Relationship Type="http://schemas.openxmlformats.org/officeDocument/2006/relationships/hyperlink" Id="rId112"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1"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3"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18"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7" Target="https://doi.org/10.5465/amj.2009.0703" TargetMode="External" /><Relationship Type="http://schemas.openxmlformats.org/officeDocument/2006/relationships/hyperlink" Id="rId102" Target="https://doi.org/10.5465/amr.1984.4277628" TargetMode="External" /><Relationship Type="http://schemas.openxmlformats.org/officeDocument/2006/relationships/hyperlink" Id="rId116" Target="https://doi.org/10.5465/amr.2003.9416341" TargetMode="External" /><Relationship Type="http://schemas.openxmlformats.org/officeDocument/2006/relationships/hyperlink" Id="rId101" Target="https://doi.org/10.5465/amr.2007.24345254" TargetMode="External" /></Relationships>
</file>

<file path=word/_rels/footnotes.xml.rels><?xml version="1.0" encoding="UTF-8"?><Relationships xmlns="http://schemas.openxmlformats.org/package/2006/relationships"><Relationship Type="http://schemas.openxmlformats.org/officeDocument/2006/relationships/hyperlink" Id="rId119" Target="https://doi.org/10.1002/gsj.1336" TargetMode="External" /><Relationship Type="http://schemas.openxmlformats.org/officeDocument/2006/relationships/hyperlink" Id="rId106" Target="https://doi.org/10.1002/gsj.1433" TargetMode="External" /><Relationship Type="http://schemas.openxmlformats.org/officeDocument/2006/relationships/hyperlink" Id="rId121" Target="https://doi.org/10.1002/smj.4250050207" TargetMode="External" /><Relationship Type="http://schemas.openxmlformats.org/officeDocument/2006/relationships/hyperlink" Id="rId122" Target="https://doi.org/10.1007/s11575-022-00462-x" TargetMode="External" /><Relationship Type="http://schemas.openxmlformats.org/officeDocument/2006/relationships/hyperlink" Id="rId108"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3" Target="https://doi.org/10.1016/j.intman.2013.01.003" TargetMode="External" /><Relationship Type="http://schemas.openxmlformats.org/officeDocument/2006/relationships/hyperlink" Id="rId98" Target="https://doi.org/10.1016/j.jbusres.2008.01.013" TargetMode="External" /><Relationship Type="http://schemas.openxmlformats.org/officeDocument/2006/relationships/hyperlink" Id="rId120" Target="https://doi.org/10.1016/j.jbusres.2019.09.022" TargetMode="External" /><Relationship Type="http://schemas.openxmlformats.org/officeDocument/2006/relationships/hyperlink" Id="rId113"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4" Target="https://doi.org/10.1017/CBO9780511808678" TargetMode="External" /><Relationship Type="http://schemas.openxmlformats.org/officeDocument/2006/relationships/hyperlink" Id="rId105"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7" Target="https://doi.org/10.1057/palgrave.jibs.8400377" TargetMode="External" /><Relationship Type="http://schemas.openxmlformats.org/officeDocument/2006/relationships/hyperlink" Id="rId100" Target="https://doi.org/10.1057/palgrave.jibs.8490065" TargetMode="External" /><Relationship Type="http://schemas.openxmlformats.org/officeDocument/2006/relationships/hyperlink" Id="rId104"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0" Target="https://doi.org/10.1080/00031305.2000.10474549" TargetMode="External" /><Relationship Type="http://schemas.openxmlformats.org/officeDocument/2006/relationships/hyperlink" Id="rId109" Target="https://doi.org/10.1111/j.1468-0084.2009.00569.x" TargetMode="External" /><Relationship Type="http://schemas.openxmlformats.org/officeDocument/2006/relationships/hyperlink" Id="rId115" Target="https://doi.org/10.1111/j.1745-9125.1998.tb01268.x" TargetMode="External" /><Relationship Type="http://schemas.openxmlformats.org/officeDocument/2006/relationships/hyperlink" Id="rId112"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1"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3"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18"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7" Target="https://doi.org/10.5465/amj.2009.0703" TargetMode="External" /><Relationship Type="http://schemas.openxmlformats.org/officeDocument/2006/relationships/hyperlink" Id="rId102" Target="https://doi.org/10.5465/amr.1984.4277628" TargetMode="External" /><Relationship Type="http://schemas.openxmlformats.org/officeDocument/2006/relationships/hyperlink" Id="rId116" Target="https://doi.org/10.5465/amr.2003.9416341" TargetMode="External" /><Relationship Type="http://schemas.openxmlformats.org/officeDocument/2006/relationships/hyperlink" Id="rId101" Target="https://doi.org/10.5465/amr.2007.243452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2026-05-21T03:55:55Z</dcterms:created>
  <dcterms:modified xsi:type="dcterms:W3CDTF">2026-05-21T03:55:55Z</dcterms:modified>
</cp:coreProperties>
</file>

<file path=docProps/custom.xml><?xml version="1.0" encoding="utf-8"?>
<Properties xmlns="http://schemas.openxmlformats.org/officeDocument/2006/custom-properties" xmlns:vt="http://schemas.openxmlformats.org/officeDocument/2006/docPropsVTypes"/>
</file>