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 The Lind–Mehlum (2010) sufficient conditions test for an inverted U cannot be rejected in the positive direction: there is no evidence that internationalization improves performance at any intensity level.</w:t>
      </w:r>
    </w:p>
    <w:p>
      <w:pPr>
        <w:pStyle w:val="BodyText"/>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6"/>
    <w:bookmarkStart w:id="50" w:name="appendix-a-tables"/>
    <w:p>
      <w:pPr>
        <w:pStyle w:val="Heading2"/>
      </w:pPr>
      <w:r>
        <w:t xml:space="preserve">Appendix A: Tables</w:t>
      </w:r>
    </w:p>
    <w:bookmarkStart w:id="47"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7"/>
    <w:bookmarkStart w:id="48"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8"/>
    <w:bookmarkStart w:id="49"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9"/>
    <w:bookmarkEnd w:id="50"/>
    <w:bookmarkEnd w:id="5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2026-05-16T09:59:48Z</dcterms:created>
  <dcterms:modified xsi:type="dcterms:W3CDTF">2026-05-16T09:59:48Z</dcterms:modified>
</cp:coreProperties>
</file>

<file path=docProps/custom.xml><?xml version="1.0" encoding="utf-8"?>
<Properties xmlns="http://schemas.openxmlformats.org/officeDocument/2006/custom-properties" xmlns:vt="http://schemas.openxmlformats.org/officeDocument/2006/docPropsVTypes"/>
</file>