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Bốn truyền thống này không vận hành song song mà hội tụ quanh một trục tổ chức duy nhất: chế độ thể chế ICRV hoạt động như một bộ lọc chi phí giao dịch (transaction cost filter) xác định một bản đồ địa hình xuất khẩu chiến lược (strategic export topography), trong đó RBV (TCI, DAI) là các tấm lá chắn cấp doanh nghiệp, Uppsala mô tả sự di chuyển dọc theo địa hình, còn Upper Echelons đi vào như biến kiểm soát nội sinh về chất lượng quản trị.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under review), P4 Singapore (MIR, under review), P5 Trung Quốc (IJOEM, under review),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=.942),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tài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Trong hơn nửa thế kỷ qua, quốc tế hóa vẫn là một trong những chiến lược phát triển then chốt của doanh nghiệp, song bằng chứng về hiệu quả mà nó mang lại vẫn chưa thống nhất. Các nghiên cứu trong lĩnh vực kinh doanh quốc tế (international business, IB) đã ghi nhận năm dạng hàm mô tả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phân tán này không phải là mâu thuẫn cần loại bỏ, mà là biểu hiện của tính phụ thuộc bối cảnh: cùng một mức cường độ xuất khẩu có thể trở thành lợi thế hoặc gánh nặng, tùy theo (1) năng lực doanh nghiệp, (2) chất lượng thể chế quốc gia, và (3) giai đoạn phát triển số (Bausch &amp; Krist, 2007; Kirca et al., 2012; Marano et al., 2016; Wu, Wood &amp; Khan, 2022).</w:t>
      </w:r>
    </w:p>
    <w:p>
      <w:pPr>
        <w:pStyle w:val="BodyText"/>
      </w:pPr>
      <w:r>
        <w:t xml:space="preserve">Châu Á giai đoạn 2009-2025 cung cấp một phòng thí nghiệm tự nhiên hiếm có để kiểm định quan hệ I-P, bởi khu vực này dung chứa đồng thời ít nhất sáu chế độ thể chế khác biệt theo khung phân loại ICRV. Chính sự đồng tồn tại của các chế độ này, trong cùng một khoảng thời gian và trên cùng một nguồn dữ liệu chuẩn hóa, cho phép phân tách hiệu ứng thể chế khỏi hiệu ứng thời kỳ, điều mà các nghiên cứu đơn quốc gia không thể thực hiện. Sáu chế độ bao gồm: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Song song với sự đa dạng thể chế đó, châu Á đang trải qua một làn sóng chuyển đổi số chưa từng có tiền lệ trong giai đoạn 2018-2025. Sự bùng nổ của hạ tầng số và trí tuệ nhân tạo từ năm 2023 không chỉ là một biến ngoại sinh, mà đã tái định hình chính cơ chế qua đó năng lực số chi phối quan hệ giữa quốc tế hóa và hiệu quả doanh nghiệp (Banalieva &amp; Dhanaraj, 2019; Verhoef et al., 2021; Yang, Zhao &amp; Wei, 2025). Hệ quả là bất kỳ mô hình I-P nào cho châu Á đương đại cũng cần nội sinh hóa yếu tố số thay vì xem nó như một biến kiểm soát thuần túy.</w:t>
      </w:r>
    </w:p>
    <w:p>
      <w:pPr>
        <w:pStyle w:val="BodyText"/>
      </w:pPr>
      <w:r>
        <w:t xml:space="preserve">Tuy nhiên, khung lý thuyết hiện hành về quan hệ I-P vẫn còn phân tán. Các tổng quan quy mô lớn thường chỉ khai thác một hoặc hai khía cạnh và hiếm khi đề xuất một khung tích hợp đa tầng đủ sức giải thích trọn vẹn tính không đồng nhất quan sát được ở châu Á (Kirca et al., 2012; Marano et al., 2016). Khoảng trống này đặc biệt rõ ở chiều cạnh số: khung áp dụng số nền tảng (Foundational Digital Adoption Framework) mới chỉ được đề xuất gần đây (Verhoef et al., 2021) và chưa được tích hợp một cách hệ thống với bốn tầng lý thuyết kinh điển. Chính khoảng trống tích hợp lý thuyết và bằng chứng này định hình động lực của chuyên đề.</w:t>
      </w:r>
    </w:p>
    <w:p>
      <w:pPr>
        <w:pStyle w:val="BodyText"/>
      </w:pPr>
      <w:r>
        <w:t xml:space="preserve">Kết quả phân tích mô tả trong Chuyên đề Tiến sĩ số 1 đã phác họa một bức tranh thực trạng đa chiều trên 101.185 doanh nghiệp WBES thuộc 47 nền kinh tế, làm nổi bật ba pattern then chốt: (1) phân tán năng suất tăng đơn điệu theo chế độ thể chế từ Nhóm I đến Nhóm VI; (2) tính không đồng nhất nội bộ rõ rệt trong nhóm Advanced; và (3) pattern thích ứng đặc trưng của các quốc đảo nhỏ Thái Bình Dương. Quan trọng hơn, phân tích đó làm lộ diện CDCM (Mô hình Áp dụng số và Năng lực phụ thuộc bối cảnh): tác động của DAI lên hiệu quả không cố định mà phụ thuộc vào chế độ thể chế, giai đoạn quốc tế hóa, và mức độ bão hòa số của nền kinh tế. Ba pattern thực nghiệm này đặt ra một yêu cầu lý thuyết cụ thể, đó là cần một mô hình có khả năng giải thích vì sao cùng một mức quốc tế hóa lại cho hiệu quả khác nhau giữa các chế độ; Chuyên đề 2 tiếp nối trực tiếp mạch đó, xây dựng một mô hình vừa lý thuyết vừa thực nghiệm nhằm giải thích cơ chế đằng sau các pattern này.</w:t>
      </w:r>
    </w:p>
    <w:p>
      <w:pPr>
        <w:pStyle w:val="BodyText"/>
      </w:pPr>
      <w:r>
        <w:t xml:space="preserve">Khung đề xuất không dừng lại ở lý thuyết: bốn bản thảo thực nghiệm đồng hành đã cung cấp bằng chứng quốc gia cụ thể để kiểm định khả năng giải thích của nó.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82% và DAI hoạt động như nguồn lực mở rộng tình huống với hệ số DAI×</w:t>
      </w:r>
      <m:oMath>
        <m:sSup>
          <m:e>
            <m:r>
              <m:rPr>
                <m:nor/>
                <m:sty m:val="p"/>
              </m:rPr>
              <m:t>FSTS</m:t>
            </m:r>
          </m:e>
          <m:sup>
            <m:r>
              <m:t>2</m:t>
            </m:r>
          </m:sup>
        </m:sSup>
      </m:oMath>
      <w:r>
        <w:t xml:space="preserve"> </w:t>
      </w:r>
      <w:r>
        <w:t xml:space="preserve">= +3,119 (p = 0,005). P5 Trung Quốc (Đỗ &amp; Phan, 2026, IJOEM under review) phân tích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các nghiên cứu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các nghiên cứu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738edd18734ed39dd3ad1441b2baf3f5818c8a1"/>
    <w:p>
      <w:pPr>
        <w:pStyle w:val="Heading4"/>
      </w:pPr>
      <w:r>
        <w:t xml:space="preserve">2.3.1 Tổng quan tài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Các nghiên cứu IB không hội tụ về một dạng hàm duy nhất cho quan hệ I-P mà ghi nhận ít nhất năm dạng riêng biệt. Chính sự tồn tại song song của năm dạng này, chứ không phải bản thân từng dạng, mới là dữ kiện cần được giải thích: chúng phản ánh việc hiệu ứng quốc tế hóa thay đổi theo bối cảnh năng lực, thể chế, và giai đoạn số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w:t>
      </w:r>
      <w:r>
        <w:t xml:space="preserve"> </w:t>
      </w:r>
      <m:oMath>
        <m:sSub>
          <m:e>
            <m:r>
              <m:t>β</m:t>
            </m:r>
          </m:e>
          <m:sub>
            <m:r>
              <m:t>1</m:t>
            </m:r>
          </m:sub>
        </m:sSub>
      </m:oMath>
      <w:r>
        <w:t xml:space="preserve">(FSTS) &gt; 0,</w:t>
      </w:r>
      <w:r>
        <w:t xml:space="preserve"> </w:t>
      </w:r>
      <m:oMath>
        <m:sSub>
          <m:e>
            <m:r>
              <m:t>β</m:t>
            </m:r>
          </m:e>
          <m:sub>
            <m:r>
              <m:t>2</m:t>
            </m:r>
          </m:sub>
        </m:sSub>
      </m:oMath>
      <w:r>
        <w:t xml:space="preserve">(</w:t>
      </w:r>
      <m:oMath>
        <m:sSup>
          <m:e>
            <m:r>
              <m:rPr>
                <m:nor/>
                <m:sty m:val="p"/>
              </m:rPr>
              <m:t>FSTS</m:t>
            </m:r>
          </m:e>
          <m:sup>
            <m:r>
              <m:t>2</m:t>
            </m:r>
          </m:sup>
        </m:sSup>
      </m:oMath>
      <w:r>
        <w:t xml:space="preserve">) &lt; 0,</w:t>
      </w:r>
      <w:r>
        <w:t xml:space="preserve"> </w:t>
      </w:r>
      <m:oMath>
        <m:sSub>
          <m:e>
            <m:r>
              <m:t>β</m:t>
            </m:r>
          </m:e>
          <m:sub>
            <m:r>
              <m:t>3</m:t>
            </m:r>
          </m:sub>
        </m:sSub>
      </m:oMath>
      <w:r>
        <w:t xml:space="preserve">(</w:t>
      </w:r>
      <m:oMath>
        <m:sSup>
          <m:e>
            <m:r>
              <m:rPr>
                <m:nor/>
                <m:sty m:val="p"/>
              </m:rPr>
              <m:t>FSTS</m:t>
            </m:r>
          </m:e>
          <m:sup>
            <m:r>
              <m:t>3</m:t>
            </m:r>
          </m:sup>
        </m:sSup>
      </m:oMath>
      <w:r>
        <w:t xml:space="preserve">)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 là hàm lợi ích và C(, ) là hàm chi phí. Sự khác biệt giữa các dạng hàm nằm ở hình dạng của B(, ) và C(, )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quy mô lớn trải dài giai đoạn 1980-2024 hội tụ về một kết luận chung, hiệu ứng I-P dương nhưng nhỏ và dị biệt cao, song mỗi tổng quan đều để lại đúng những khoảng trống mà chuyên đề này nhắm tới.</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w:t>
      </w:r>
      <w:r>
        <w:t xml:space="preserve">$15% FSTS,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Partial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Partial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w:t>
            </w:r>
            <w:r>
              <w:t xml:space="preserve">$15%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 JFAR)</w:t>
            </w:r>
          </w:p>
        </w:tc>
        <w:tc>
          <w:tcPr/>
          <w:p>
            <w:pPr>
              <w:pStyle w:val="Compact"/>
              <w:jc w:val="left"/>
            </w:pPr>
            <w:r>
              <w:t xml:space="preserve">Có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 đến VI)</w:t>
            </w:r>
          </w:p>
        </w:tc>
        <w:tc>
          <w:tcPr/>
          <w:p>
            <w:pPr>
              <w:pStyle w:val="Compact"/>
              <w:jc w:val="left"/>
            </w:pPr>
            <w:r>
              <w:rPr>
                <w:bCs/>
                <w:b/>
              </w:rPr>
              <w:t xml:space="preserve">Có (Nhóm VI FIP)</w:t>
            </w:r>
          </w:p>
        </w:tc>
      </w:tr>
    </w:tbl>
    <w:p>
      <w:pPr>
        <w:pStyle w:val="BodyText"/>
      </w:pPr>
      <w:r>
        <w:rPr>
          <w:iCs/>
          <w:i/>
        </w:rPr>
        <w:t xml:space="preserve">Ghi chú: Có = kiểm định chính thức hoặc đóng góp lý thuyết rõ ràng; Partial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w:t>
      </w:r>
      <w:r>
        <w:rPr>
          <w:iCs/>
          <w:i/>
        </w:rPr>
        <w:t xml:space="preserve"> </w:t>
      </w:r>
      <m:oMath>
        <m:sSub>
          <m:e>
            <m:r>
              <m:t>β</m:t>
            </m:r>
          </m:e>
          <m:sub>
            <m:r>
              <m:t>1</m:t>
            </m:r>
          </m:sub>
        </m:sSub>
      </m:oMath>
      <w:r>
        <w:rPr>
          <w:iCs/>
          <w:i/>
        </w:rPr>
        <w:t xml:space="preserve"> </w:t>
      </w:r>
      <w:r>
        <w:rPr>
          <w:iCs/>
          <w:i/>
        </w:rPr>
        <w:t xml:space="preserve">FSTS_c +</w:t>
      </w:r>
      <w:r>
        <w:rPr>
          <w:iCs/>
          <w:i/>
        </w:rPr>
        <w:t xml:space="preserve"> </w:t>
      </w:r>
      <m:oMath>
        <m:sSub>
          <m:e>
            <m:r>
              <m:t>β</m:t>
            </m:r>
          </m:e>
          <m:sub>
            <m:r>
              <m:t>2</m:t>
            </m:r>
          </m:sub>
        </m:sSub>
      </m:oMath>
      <w:r>
        <w:rPr>
          <w:iCs/>
          <w:i/>
        </w:rPr>
        <w:t xml:space="preserve"> </w:t>
      </w:r>
      <m:oMath>
        <m:sSubSup>
          <m:e>
            <m:r>
              <m:rPr>
                <m:nor/>
                <m:sty m:val="p"/>
              </m:rPr>
              <m:t>FSTS</m:t>
            </m:r>
          </m:e>
          <m:sub>
            <m:r>
              <m:t>c</m:t>
            </m:r>
          </m:sub>
          <m:sup>
            <m:r>
              <m:t>2</m:t>
            </m:r>
          </m:sup>
        </m:sSubSup>
      </m:oMath>
      <w:r>
        <w:rPr>
          <w:iCs/>
          <w:i/>
        </w:rPr>
        <w:t xml:space="preserve"> </w:t>
      </w:r>
      <w:r>
        <w:rPr>
          <w:iCs/>
          <w:i/>
        </w:rPr>
        <w:t xml:space="preserve">+</w:t>
      </w:r>
      <w:r>
        <w:rPr>
          <w:iCs/>
          <w:i/>
        </w:rPr>
        <w:t xml:space="preserve"> </w:t>
      </w:r>
      <m:oMath>
        <m:sSub>
          <m:e>
            <m:r>
              <m:t>β</m:t>
            </m:r>
          </m:e>
          <m:sub>
            <m:r>
              <m:t>3</m:t>
            </m:r>
          </m:sub>
        </m:sSub>
      </m:oMath>
      <w:r>
        <w:rPr>
          <w:iCs/>
          <w:i/>
        </w:rPr>
        <w:t xml:space="preserve"> </w:t>
      </w:r>
      <w:r>
        <w:rPr>
          <w:iCs/>
          <w:i/>
        </w:rPr>
        <w:t xml:space="preserve">TCI_z +</w:t>
      </w:r>
      <w:r>
        <w:rPr>
          <w:iCs/>
          <w:i/>
        </w:rPr>
        <w:t xml:space="preserve"> </w:t>
      </w:r>
      <m:oMath>
        <m:sSub>
          <m:e>
            <m:r>
              <m:t>β</m:t>
            </m:r>
          </m:e>
          <m:sub>
            <m:r>
              <m:t>4</m:t>
            </m:r>
          </m:sub>
        </m:sSub>
      </m:oMath>
      <w:r>
        <w:rPr>
          <w:iCs/>
          <w:i/>
        </w:rPr>
        <w:t xml:space="preserve"> </w:t>
      </w:r>
      <w:r>
        <w:rPr>
          <w:iCs/>
          <w:i/>
        </w:rPr>
        <w:t xml:space="preserve">DAI_z +</w:t>
      </w:r>
      <w:r>
        <w:rPr>
          <w:iCs/>
          <w:i/>
        </w:rPr>
        <w:t xml:space="preserve"> </w:t>
      </w:r>
      <m:oMath>
        <m:sSub>
          <m:e>
            <m:r>
              <m:t>β</m:t>
            </m:r>
          </m:e>
          <m:sub>
            <m:r>
              <m:t>5</m:t>
            </m:r>
          </m:sub>
        </m:sSub>
      </m:oMath>
      <w:r>
        <w:rPr>
          <w:iCs/>
          <w:i/>
        </w:rPr>
        <w:t xml:space="preserve">(FSTS_c × DAI_z) +</w:t>
      </w:r>
      <w:r>
        <w:rPr>
          <w:iCs/>
          <w:i/>
        </w:rPr>
        <w:t xml:space="preserve"> </w:t>
      </w:r>
      <m:oMath>
        <m:sSub>
          <m:e>
            <m:r>
              <m:t>β</m:t>
            </m:r>
          </m:e>
          <m:sub>
            <m:r>
              <m:t>6</m:t>
            </m:r>
          </m:sub>
        </m:sSub>
      </m:oMath>
      <w:r>
        <w:rPr>
          <w:iCs/>
          <w:i/>
        </w:rPr>
        <w:t xml:space="preserve">(</w:t>
      </w:r>
      <m:oMath>
        <m:sSubSup>
          <m:e>
            <m:r>
              <m:rPr>
                <m:nor/>
                <m:sty m:val="p"/>
              </m:rPr>
              <m:t>FSTS</m:t>
            </m:r>
          </m:e>
          <m:sub>
            <m:r>
              <m:t>c</m:t>
            </m:r>
          </m:sub>
          <m:sup>
            <m:r>
              <m:t>2</m:t>
            </m:r>
          </m:sup>
        </m:sSubSup>
      </m:oMath>
      <w:r>
        <w:rPr>
          <w:iCs/>
          <w:i/>
        </w:rPr>
        <w:t xml:space="preserve"> </w:t>
      </w:r>
      <w:r>
        <w:rPr>
          <w:iCs/>
          <w:i/>
        </w:rPr>
        <w:t xml:space="preserve">× DAI_z) + γ, X + δ_s + [λ_t] + ε_it. Đặc tả đầy đủ M0-M8 và bảng định nghĩa biến được trình bày trong bản thảo P3 (Mục 3.2-Mục 3.3) và luận án (Mục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điểm uốn hàm ý ở FSTS khoảng 82% (vùng thưa dữ liệu; kiểm định Lind-Mehlum p = 0,303). DAI×</w:t>
      </w:r>
      <m:oMath>
        <m:sSup>
          <m:e>
            <m:r>
              <m:rPr>
                <m:nor/>
                <m:sty m:val="p"/>
              </m:rPr>
              <m:t>FSTS</m:t>
            </m:r>
          </m:e>
          <m:sup>
            <m:r>
              <m:t>2</m:t>
            </m:r>
          </m:sup>
        </m:sSup>
      </m:oMath>
      <w:r>
        <w:t xml:space="preserve"> </w:t>
      </w:r>
      <w:r>
        <w:t xml:space="preserve">=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điểm uốn 49,4% (2012), 47,2% (2024), kiểm định Paternoster cho hệ số</w:t>
      </w:r>
      <w:r>
        <w:t xml:space="preserve"> </w:t>
      </w:r>
      <m:oMath>
        <m:sSup>
          <m:e>
            <m:r>
              <m:rPr>
                <m:nor/>
                <m:sty m:val="p"/>
              </m:rPr>
              <m:t>FSTS</m:t>
            </m:r>
          </m:e>
          <m:sup>
            <m:r>
              <m:t>2</m:t>
            </m:r>
          </m:sup>
        </m:sSup>
      </m:oMath>
      <w:r>
        <w:t xml:space="preserve"> </w:t>
      </w:r>
      <w:r>
        <w:t xml:space="preserve">không có sự khác biệt đáng kể (p = 0,545). TCI tăng cường theo thời gian (+0,260 lên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~82%</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~82%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bậc ba (cubic nonlinearity) trong mẫu SMEs Trung Quốc,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lên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w:t>
      </w:r>
      <m:oMath>
        <m:sSup>
          <m:e>
            <m:r>
              <m:rPr>
                <m:nor/>
                <m:sty m:val="p"/>
              </m:rPr>
              <m:t>FSTS</m:t>
            </m:r>
          </m:e>
          <m:sup>
            <m:r>
              <m:t>2</m:t>
            </m:r>
          </m:sup>
        </m:sSup>
      </m:oMath>
      <w:r>
        <w:t xml:space="preserve"> </w:t>
      </w:r>
      <w:r>
        <w:t xml:space="preserve">=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lên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w:t>
            </w:r>
            <m:oMath>
              <m:sSup>
                <m:e>
                  <m:r>
                    <m:rPr>
                      <m:nor/>
                      <m:sty m:val="p"/>
                    </m:rPr>
                    <m:t>FSTS</m:t>
                  </m:r>
                </m:e>
                <m:sup>
                  <m:r>
                    <m:t>2</m:t>
                  </m:r>
                </m:sup>
              </m:sSup>
            </m:oMath>
            <w:r>
              <w:t xml:space="preserve"> </w:t>
            </w:r>
            <w:r>
              <w:t xml:space="preserve">=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gradient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w:t>
      </w:r>
      <w:r>
        <w:t xml:space="preserve"> </w:t>
      </w:r>
      <m:oMath>
        <m:sSup>
          <m:e>
            <m:r>
              <m:rPr>
                <m:nor/>
                <m:sty m:val="p"/>
              </m:rPr>
              <m:t>FSTS</m:t>
            </m:r>
          </m:e>
          <m:sup>
            <m:r>
              <m:t>2</m:t>
            </m:r>
          </m:sup>
        </m:sSup>
      </m:oMath>
      <w:r>
        <w:t xml:space="preserve">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554d9a38aa5071c54dd41cf832555f814bf88a4"/>
    <w:p>
      <w:pPr>
        <w:pStyle w:val="Heading5"/>
      </w:pPr>
      <w:r>
        <w:t xml:space="preserve">Hình 2.1, Khung khái niệm tích hợp (tổng quan)</w:t>
      </w:r>
    </w:p>
    <w:p>
      <w:pPr>
        <w:pStyle w:val="CaptionedFigure"/>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w:t>
      </w:r>
      <w:r>
        <w:t xml:space="preserve"> </w:t>
      </w:r>
      <m:oMath>
        <m:sSup>
          <m:e>
            <m:r>
              <m:rPr>
                <m:nor/>
                <m:sty m:val="p"/>
              </m:rPr>
              <m:t>FSTS</m:t>
            </m:r>
          </m:e>
          <m:sup>
            <m:r>
              <m:t>2</m:t>
            </m:r>
          </m:sup>
        </m:sSup>
      </m:oMath>
      <w:r>
        <w:t xml:space="preserve">_c,</w:t>
      </w:r>
      <w:r>
        <w:t xml:space="preserve"> </w:t>
      </w:r>
      <m:oMath>
        <m:sSup>
          <m:e>
            <m:r>
              <m:rPr>
                <m:nor/>
                <m:sty m:val="p"/>
              </m:rPr>
              <m:t>FSTS</m:t>
            </m:r>
          </m:e>
          <m:sup>
            <m:r>
              <m:t>3</m:t>
            </m:r>
          </m:sup>
        </m:sSup>
      </m:oMath>
      <w:r>
        <w:t xml:space="preserve">_c) ở cực trái. Năm nhóm biến điều tiết phân theo hai cấp: cấp doanh nghiệp (TCI, H2, DAI, H3, đặc điểm nhà quản trị, H4a-H4c) và cấp quốc gia (ICRV regime, H5, giai đoạn thời gian,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101.185 doanh nghiệp.</w:t>
      </w:r>
    </w:p>
    <w:bookmarkEnd w:id="48"/>
    <w:bookmarkStart w:id="52" w:name="hình-2.2-cơ-chế-cdcm-chi-tiết"/>
    <w:p>
      <w:pPr>
        <w:pStyle w:val="Heading5"/>
      </w:pPr>
      <w:r>
        <w:t xml:space="preserve">Hình 2.2, Cơ chế CDCM chi tiết</w:t>
      </w:r>
    </w:p>
    <w:p>
      <w:pPr>
        <w:pStyle w:val="CaptionedFigure"/>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w:t>
      </w:r>
      <m:oMath>
        <m:sSup>
          <m:e>
            <m:r>
              <m:rPr>
                <m:nor/>
                <m:sty m:val="p"/>
              </m:rPr>
              <m:t>FSTS</m:t>
            </m:r>
          </m:e>
          <m:sup>
            <m:r>
              <m:t>2</m:t>
            </m:r>
          </m:sup>
        </m:sSup>
      </m:oMath>
      <w:r>
        <w:t xml:space="preserve">×DAI = +3,119; P4). Nhóm IV (Việt Nam,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Upper-Middle/Emerging transition, bão hòa số trung bình): DAI Tier-1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oMath>
            <w:r>
              <w:t xml:space="preserve"> </w:t>
            </w:r>
            <w:r>
              <w:t xml:space="preserve">&gt; 0</w:t>
            </w:r>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m:oMath>
              <m:sSub>
                <m:e>
                  <m:r>
                    <m:t>β</m:t>
                  </m:r>
                </m:e>
                <m:sub>
                  <m:r>
                    <m:t>2</m:t>
                  </m:r>
                </m:sub>
              </m:sSub>
            </m:oMath>
            <w:r>
              <w:t xml:space="preserve"> </w:t>
            </w:r>
            <w:r>
              <w:t xml:space="preserve">&lt; 0</w:t>
            </w:r>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m:oMath>
              <m:sSub>
                <m:e>
                  <m:r>
                    <m:t>β</m:t>
                  </m:r>
                </m:e>
                <m:sub>
                  <m:r>
                    <m:t>3</m:t>
                  </m:r>
                </m:sub>
              </m:sSub>
            </m:oMath>
            <w:r>
              <w:t xml:space="preserve"> </w:t>
            </w:r>
            <w:r>
              <w:t xml:space="preserve">&gt;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w:t>
            </w:r>
            <w:r>
              <w:t xml:space="preserve">$3/4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oMath>
            <w:r>
              <w:t xml:space="preserve">×DAI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đến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w:t>
      </w:r>
      <w:r>
        <w:t xml:space="preserve">$3/4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w:t>
      </w:r>
      <w:r>
        <w:t xml:space="preserve"> </w:t>
      </w:r>
      <m:oMath>
        <m:sSup>
          <m:e>
            <m:r>
              <m:rPr>
                <m:nor/>
                <m:sty m:val="p"/>
              </m:rPr>
              <m:t>FSTS</m:t>
            </m:r>
          </m:e>
          <m:sup>
            <m:r>
              <m:t>2</m:t>
            </m:r>
          </m:sup>
        </m:sSup>
      </m:oMath>
      <w:r>
        <w:t xml:space="preserve"> </w:t>
      </w:r>
      <w:r>
        <w:t xml:space="preserve">để giảm đa cộng tuyến.</w:t>
      </w:r>
    </w:p>
    <w:bookmarkEnd w:id="53"/>
    <w:bookmarkEnd w:id="54"/>
    <w:bookmarkStart w:id="63" w:name="hệ-giả-thuyết-nghiên-cứu-h1-h6"/>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các nghiên cứu,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w:t>
      </w:r>
      <w:r>
        <w:t xml:space="preserve">$2 bằng chứng neo đậu từ P3/P4/P5). H4a-H4b và H6 là hỗn hợp xác nhận/khám phá (hướng rõ nhưng magnitude khám phá). H4c là hoàn toàn khám phá (two-sided, không có dấu tiên nghiệm).</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và giảm dần theo chiều thể chế mạnh hơn: Nhóm I có</w:t>
      </w:r>
      <w:r>
        <w:t xml:space="preserve"> </w:t>
      </w:r>
      <w:r>
        <w:rPr>
          <w:bCs/>
          <w:b/>
        </w:rPr>
        <w:t xml:space="preserve">điểm uốn thấp nhất (~28%, P7 toàn mẫu)</w:t>
      </w:r>
      <w:r>
        <w:t xml:space="preserve">, thể chế mạnh giúp doanh nghiệp đạt đỉnh hiệu suất ở mức FSTS thấp hơn; Nhóm III có điểm uốn trung bình (47-49%); Nhóm IV có điểm uốn trung bình-thấp (39-46%); Nhóm V có điểm uốn cao (~50-55%). Nhóm VI có pattern gánh nặng bắt buộc, không có chữ U ngược điển hình. Lưu ý: P4 Singapore (TP ~82%)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~82% (gần trần).</w:t>
      </w:r>
    </w:p>
    <w:p>
      <w:pPr>
        <w:pStyle w:val="BodyText"/>
      </w:pPr>
      <w:r>
        <w:t xml:space="preserve">H1: Quan hệ giữa cường độ quốc tế hóa (FSTS) và hiệu quả doanh nghiệp (ln LP) có dạng phi tuyến, với</w:t>
      </w:r>
      <w:r>
        <w:t xml:space="preserve"> </w:t>
      </w:r>
      <m:oMath>
        <m:sSub>
          <m:e>
            <m:r>
              <m:t>β</m:t>
            </m:r>
          </m:e>
          <m:sub>
            <m:r>
              <m:t>1</m:t>
            </m:r>
          </m:sub>
        </m:sSub>
      </m:oMath>
      <w:r>
        <w:t xml:space="preserve">(FSTS) &gt; 0 và</w:t>
      </w:r>
      <w:r>
        <w:t xml:space="preserve"> </w:t>
      </w:r>
      <m:oMath>
        <m:sSub>
          <m:e>
            <m:r>
              <m:t>β</m:t>
            </m:r>
          </m:e>
          <m:sub>
            <m:r>
              <m:t>2</m:t>
            </m:r>
          </m:sub>
        </m:sSub>
      </m:oMath>
      <w:r>
        <w:t xml:space="preserve">(</w:t>
      </w:r>
      <m:oMath>
        <m:sSup>
          <m:e>
            <m:r>
              <m:rPr>
                <m:nor/>
                <m:sty m:val="p"/>
              </m:rPr>
              <m:t>FSTS</m:t>
            </m:r>
          </m:e>
          <m:sup>
            <m:r>
              <m:t>2</m:t>
            </m:r>
          </m:sup>
        </m:sSup>
      </m:oMath>
      <w:r>
        <w:t xml:space="preserve">)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Nhóm IV (~39-46%), Nhóm V (~50-55%), với Nhóm VI có pattern gánh nặng bắt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I-P.</w:t>
      </w:r>
    </w:p>
    <w:p>
      <w:pPr>
        <w:pStyle w:val="BodyText"/>
      </w:pPr>
      <w:r>
        <w:t xml:space="preserve">H1b (biên cường độ, gần phẳng): Trong mẫu chỉ gồm doanh nghiệp xuất khẩu, đường cong I-P gần phẳng,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lên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f726aff41a886fb83bbce40f5451eaeea259ac9"/>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w:t>
      </w:r>
      <w:r>
        <w:t xml:space="preserve"> </w:t>
      </w:r>
      <m:oMath>
        <m:sSup>
          <m:e>
            <m:r>
              <m:rPr>
                <m:nor/>
                <m:sty m:val="p"/>
              </m:rPr>
              <m:t>FSTS</m:t>
            </m:r>
          </m:e>
          <m:sup>
            <m:r>
              <m:t>2</m:t>
            </m:r>
          </m:sup>
        </m:sSup>
      </m:oMath>
      <w:r>
        <w:t xml:space="preserve">×DAI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oMath>
            <w:r>
              <w:t xml:space="preserve">×DAI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FSTS-ln(LP): β(FSTS×DAI) &gt; 0 và/hoặc β(</w:t>
      </w:r>
      <m:oMath>
        <m:sSup>
          <m:e>
            <m:r>
              <m:rPr>
                <m:nor/>
                <m:sty m:val="p"/>
              </m:rPr>
              <m:t>FSTS</m:t>
            </m:r>
          </m:e>
          <m:sup>
            <m:r>
              <m:t>2</m:t>
            </m:r>
          </m:sup>
        </m:sSup>
      </m:oMath>
      <w:r>
        <w:t xml:space="preserve">×DAI)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w:t>
      </w:r>
      <m:oMath>
        <m:sSup>
          <m:e>
            <m:r>
              <m:rPr>
                <m:nor/>
                <m:sty m:val="p"/>
              </m:rPr>
              <m:t>FSTS</m:t>
            </m:r>
          </m:e>
          <m:sup>
            <m:r>
              <m:t>2</m:t>
            </m:r>
          </m:sup>
        </m:sSup>
      </m:oMath>
      <w:r>
        <w:t xml:space="preserve">×DAI) vẫn dương ở mức FSTS cao nơi nhu cầu điều phối xuyên biên giới cao (bằng chứng neo đậu: P4 Singapore β(</w:t>
      </w:r>
      <m:oMath>
        <m:sSup>
          <m:e>
            <m:r>
              <m:rPr>
                <m:nor/>
                <m:sty m:val="p"/>
              </m:rPr>
              <m:t>FSTS</m:t>
            </m:r>
          </m:e>
          <m:sup>
            <m:r>
              <m:t>2</m:t>
            </m:r>
          </m:sup>
        </m:sSup>
      </m:oMath>
      <w:r>
        <w:t xml:space="preserve">×DAI) = +3,119, p = 0,005).</w:t>
      </w:r>
    </w:p>
    <w:p>
      <w:pPr>
        <w:pStyle w:val="BodyText"/>
      </w:pPr>
      <w:r>
        <w:t xml:space="preserve">TCI và DAI là hai cấu trúc phân biệt và không thể thay thế nhau trong cả hai sub-hypothesis (CDCM distinctiveness hypothesis, H3c: β(TCI)</w:t>
      </w:r>
      <w:r>
        <w:t xml:space="preserve"> </w:t>
      </w:r>
      <m:oMath>
        <m:r>
          <m:rPr>
            <m:sty m:val="p"/>
          </m:rPr>
          <m:t>≠</m:t>
        </m:r>
      </m:oMath>
      <w:r>
        <w:t xml:space="preserve"> </w:t>
      </w:r>
      <w:r>
        <w:t xml:space="preserve">β(DAI) và hai cấu trúc thỏa mãn tiêu chí discriminant validity).</w:t>
      </w:r>
    </w:p>
    <w:bookmarkEnd w:id="58"/>
    <w:bookmarkStart w:id="59" w:name="h4a-h4c-đặc-điểm-nhà-quản-trị-điều-tiết"/>
    <w:p>
      <w:pPr>
        <w:pStyle w:val="Heading5"/>
      </w:pPr>
      <w:r>
        <w:t xml:space="preserve">H4a-H4c,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các nghiên cứu Upper Echelons không đồng nhất về chiều hướng cho châu Á (Hambrick, 2007); H4c vì vậy là exploratory.</w:t>
      </w:r>
    </w:p>
    <w:p>
      <w:pPr>
        <w:pStyle w:val="BodyText"/>
      </w:pPr>
      <w:r>
        <w:t xml:space="preserve">Phạm vi kiểm định: H4a-H4b là biến đại diện (proxy) cho cơ chế Upper Echelons, kết quả là chỉ báo gián tiếp, không phải kiểm định trực tiếp cấu trúc lý thuyết gốc. Hạn chế này cần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Đường cong phẳng/gần tuyến tính (P7 toàn mẫu)</w:t>
            </w:r>
          </w:p>
        </w:tc>
        <w:tc>
          <w:tcPr/>
          <w:p>
            <w:pPr>
              <w:pStyle w:val="Compact"/>
              <w:jc w:val="left"/>
            </w:pPr>
            <w:r>
              <w:t xml:space="preserve">P7 pooled (N=82.302): độ cong nông nhất, gần tuyến tính ở nhóm tiên tiến (điểm uốn cụm quanh ~40%); P4 Singapore TP ~82%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dẫn đến trần thấp</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đến V; Nhóm VI có pattern gánh nặng bắt buộc. Điểm uốn</w:t>
      </w:r>
      <w:r>
        <w:t xml:space="preserve"> </w:t>
      </w:r>
      <w:r>
        <w:rPr>
          <w:bCs/>
          <w:b/>
        </w:rPr>
        <w:t xml:space="preserve">giảm đơn điệu</w:t>
      </w:r>
      <w:r>
        <w:t xml:space="preserve"> </w:t>
      </w:r>
      <w:r>
        <w:t xml:space="preserve">theo gradient từ Nhóm V (~50-55%) xuống Nhóm I (~28%), thể chế càng mạnh, doanh nghiệp đạt đỉnh hiệu suất ở mức FSTS</w:t>
      </w:r>
      <w:r>
        <w:t xml:space="preserve"> </w:t>
      </w:r>
      <w:r>
        <w:rPr>
          <w:bCs/>
          <w:b/>
        </w:rPr>
        <w:t xml:space="preserve">thấp hơn</w:t>
      </w:r>
      <w:r>
        <w:t xml:space="preserve">, phản ánh chi phí giao dịch thấp và năng lực điều phối cao trong bối cảnh thể chế vững mạnh.</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I-P dịch chuyển đáng kể. P5 Trung Quốc: TCI Paternoster p = 0,011, hiệu ứng TCI tăng cường 2012 đến 2024. P5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w:t>
      </w:r>
      <m:oMath>
        <m:sSup>
          <m:e>
            <m:r>
              <m:rPr>
                <m:nor/>
                <m:sty m:val="p"/>
              </m:rPr>
              <m:t>FSTS</m:t>
            </m:r>
          </m:e>
          <m:sup>
            <m:r>
              <m:t>2</m:t>
            </m:r>
          </m:sup>
        </m:sSup>
      </m:oMath>
      <w:r>
        <w:t xml:space="preserve">×Year_bucket)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lên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oMath>
            <w:r>
              <w:t xml:space="preserve">×DAI</w:t>
            </w:r>
          </w:p>
        </w:tc>
        <w:tc>
          <w:tcPr/>
          <w:p>
            <w:pPr>
              <w:pStyle w:val="Compact"/>
              <w:jc w:val="left"/>
            </w:pPr>
            <w:r>
              <w:t xml:space="preserve">Direct: null/-; cond: β(</w:t>
            </w:r>
            <m:oMath>
              <m:sSup>
                <m:e>
                  <m:r>
                    <m:rPr>
                      <m:nor/>
                      <m:sty m:val="p"/>
                    </m:rPr>
                    <m:t>FSTS</m:t>
                  </m:r>
                </m:e>
                <m:sup>
                  <m:r>
                    <m:t>2</m:t>
                  </m:r>
                </m:sup>
              </m:sSup>
            </m:oMath>
            <w:r>
              <w:t xml:space="preserve">×DAI)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w:t>
            </w:r>
            <w:r>
              <w:t xml:space="preserve"> </w:t>
            </w:r>
            <m:oMath>
              <m:r>
                <m:rPr>
                  <m:sty m:val="p"/>
                </m:rPr>
                <m:t>≠</m:t>
              </m:r>
            </m:oMath>
            <w:r>
              <w:t xml:space="preserve"> </w:t>
            </w:r>
            <w:r>
              <w:t xml:space="preserve">0</w:t>
            </w:r>
          </w:p>
        </w:tc>
        <w:tc>
          <w:tcPr/>
          <w:p>
            <w:pPr>
              <w:pStyle w:val="Compact"/>
              <w:jc w:val="left"/>
            </w:pPr>
            <w:r>
              <w:t xml:space="preserve">P3 Paternoster p &lt; 0,001; P5 TCI p = 0,011</w:t>
            </w:r>
          </w:p>
        </w:tc>
      </w:tr>
    </w:tbl>
    <w:p>
      <w:pPr>
        <w:pStyle w:val="BodyText"/>
      </w:pPr>
      <w:r>
        <w:t xml:space="preserve">Chín giả thuyết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w:t>
      </w:r>
      <w:r>
        <w:t xml:space="preserve"> </w:t>
      </w:r>
      <m:oMath>
        <m:sSup>
          <m:e>
            <m:r>
              <m:t>R</m:t>
            </m:r>
          </m:e>
          <m:sup>
            <m:r>
              <m:t>2</m:t>
            </m:r>
          </m:sup>
        </m:sSup>
      </m:oMath>
      <w:r>
        <w:t xml:space="preserve"> </w:t>
      </w:r>
      <w:r>
        <w:t xml:space="preserve">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w:t>
      </w:r>
      <w:r>
        <w:t xml:space="preserve"> </w:t>
      </w:r>
      <m:oMath>
        <m:sSup>
          <m:e>
            <m:r>
              <m:rPr>
                <m:nor/>
                <m:sty m:val="p"/>
              </m:rPr>
              <m:t>FSTS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oMath>
      <w:r>
        <w:t xml:space="preserve"> </w:t>
      </w:r>
      <w:r>
        <w:t xml:space="preserve">&gt;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w:t>
      </w:r>
      <w:r>
        <w:t xml:space="preserve"> </w:t>
      </w:r>
      <m:oMath>
        <m:sSub>
          <m:e>
            <m:r>
              <m:t>β</m:t>
            </m:r>
          </m:e>
          <m:sub>
            <m:r>
              <m:t>1</m:t>
            </m:r>
          </m:sub>
        </m:sSub>
      </m:oMath>
      <w:r>
        <w:t xml:space="preserve"> </w:t>
      </w:r>
      <w:r>
        <w:t xml:space="preserve">&gt;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các nghiên cứu.</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w:r>
        <w:t xml:space="preserve">Điểm uốn: TP₁ = −</w:t>
      </w:r>
      <m:oMath>
        <m:sSub>
          <m:e>
            <m:r>
              <m:t>β</m:t>
            </m:r>
          </m:e>
          <m:sub>
            <m:r>
              <m:t>1</m:t>
            </m:r>
          </m:sub>
        </m:sSub>
      </m:oMath>
      <w:r>
        <w:t xml:space="preserve">/(2</w:t>
      </w:r>
      <m:oMath>
        <m:sSub>
          <m:e>
            <m:r>
              <m:t>β</m:t>
            </m:r>
          </m:e>
          <m:sub>
            <m:r>
              <m:t>2</m:t>
            </m:r>
          </m:sub>
        </m:sSub>
      </m:oMath>
      <w:r>
        <w:t xml:space="preserve">),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m:oMath>
        <m:sSub>
          <m:e>
            <m:r>
              <m:t>β</m:t>
            </m:r>
          </m:e>
          <m:sub>
            <m:r>
              <m:t>3</m:t>
            </m:r>
          </m:sub>
        </m:sSub>
      </m:oMath>
      <w:r>
        <w:t xml:space="preserve"> </w:t>
      </w:r>
      <w:r>
        <w:t xml:space="preserve">&gt; 0.</w:t>
      </w:r>
      <w:r>
        <w:t xml:space="preserve"> </w:t>
      </w:r>
      <w:r>
        <w:t xml:space="preserve">Lựa chọn mô hình: so sánh M1 và M2 bằng AIC, BIC, và F-test</w:t>
      </w:r>
      <w:r>
        <w:t xml:space="preserve"> </w:t>
      </w:r>
      <m:oMath>
        <m:sSub>
          <m:e>
            <m:r>
              <m:t>β</m:t>
            </m:r>
          </m:e>
          <m:sub>
            <m:r>
              <m:t>3</m:t>
            </m:r>
          </m:sub>
        </m:sSub>
      </m:oMath>
      <w:r>
        <w:t xml:space="preserve"> </w:t>
      </w:r>
      <w:r>
        <w:t xml:space="preserve">= 0.</w:t>
      </w:r>
    </w:p>
    <w:bookmarkEnd w:id="67"/>
    <w:bookmarkStart w:id="68"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oMath>
      <w:r>
        <w:t xml:space="preserve"> </w:t>
      </w:r>
      <w:r>
        <w:t xml:space="preserve">&gt; 0)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oMath>
      <w:r>
        <w:t xml:space="preserve"> </w:t>
      </w:r>
      <w:r>
        <w:t xml:space="preserve">&gt; 0 (hiệu ứng TCI trực tiếp).</w:t>
      </w:r>
      <w:r>
        <w:t xml:space="preserve"> </w:t>
      </w:r>
      <w:r>
        <w:t xml:space="preserve">Kiểm định: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 = kiểm định joint moderation; nếu p &gt; 0,10 thì TCI là nâng mặt bằng thuần túy.</w:t>
      </w:r>
    </w:p>
    <w:bookmarkEnd w:id="68"/>
    <w:bookmarkStart w:id="69"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oMath>
      <w:r>
        <w:t xml:space="preserve">(</w:t>
      </w:r>
      <m:oMath>
        <m:sSup>
          <m:e>
            <m:r>
              <m:rPr>
                <m:nor/>
                <m:sty m:val="p"/>
              </m:rPr>
              <m:t>FSTS</m:t>
            </m:r>
          </m:e>
          <m:sup>
            <m:r>
              <m:t>2</m:t>
            </m:r>
          </m:sup>
        </m:sSup>
      </m:oMath>
      <w:r>
        <w:t xml:space="preserve">×DAI) &gt; 0 trong Nhóm I (nhất quán P4 Singapore +3,119);</w:t>
      </w:r>
      <w:r>
        <w:t xml:space="preserve"> </w:t>
      </w:r>
      <m:oMath>
        <m:sSub>
          <m:e>
            <m:r>
              <m:t>β</m:t>
            </m:r>
          </m:e>
          <m:sub>
            <m:r>
              <m:t>3</m:t>
            </m:r>
          </m:sub>
        </m:sSub>
      </m:oMath>
      <w:r>
        <w:t xml:space="preserve">(DAI trực tiếp) tiến tới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w:t>
      </w:r>
      <w:r>
        <w:t xml:space="preserve"> </w:t>
      </w:r>
      <m:oMath>
        <m:sSub>
          <m:e>
            <m:r>
              <m:t>β</m:t>
            </m:r>
          </m:e>
          <m:sub>
            <m:r>
              <m:t>4</m:t>
            </m:r>
          </m:sub>
        </m:sSub>
      </m:oMath>
      <w:r>
        <w:t xml:space="preserve"> </w:t>
      </w:r>
      <w:r>
        <w:t xml:space="preserve">&gt; 0; educ_manager (b7a, H4b), biến phụ với kỳ vọng</w:t>
      </w:r>
      <w:r>
        <w:t xml:space="preserve"> </w:t>
      </w:r>
      <m:oMath>
        <m:sSub>
          <m:e>
            <m:r>
              <m:t>β</m:t>
            </m:r>
          </m:e>
          <m:sub>
            <m:r>
              <m:t>4</m:t>
            </m:r>
          </m:sub>
        </m:sSub>
      </m:oMath>
      <w:r>
        <w:t xml:space="preserve"> </w:t>
      </w:r>
      <w:r>
        <w:t xml:space="preserve">&gt; 0; gender_manager (b7, H4c), khám phá, kiểm định two-sided.</w:t>
      </w:r>
      <w:r>
        <w:t xml:space="preserve"> </w:t>
      </w:r>
      <w:r>
        <w:t xml:space="preserve">Kỳ vọng:</w:t>
      </w:r>
      <w:r>
        <w:t xml:space="preserve"> </w:t>
      </w:r>
      <m:oMath>
        <m:sSub>
          <m:e>
            <m:r>
              <m:t>β</m:t>
            </m:r>
          </m:e>
          <m:sub>
            <m:r>
              <m:t>4</m:t>
            </m:r>
          </m:sub>
        </m:sSub>
      </m:oMath>
      <w:r>
        <w:t xml:space="preserve">(FSTS×exp_manager) &gt; 0 [H4a];</w:t>
      </w:r>
      <w:r>
        <w:t xml:space="preserve"> </w:t>
      </w:r>
      <m:oMath>
        <m:sSub>
          <m:e>
            <m:r>
              <m:t>β</m:t>
            </m:r>
          </m:e>
          <m:sub>
            <m:r>
              <m:t>4</m:t>
            </m:r>
          </m:sub>
        </m:sSub>
      </m:oMath>
      <w:r>
        <w:t xml:space="preserve">(FSTS×educ_manager) &gt; 0 [H4b];</w:t>
      </w:r>
      <w:r>
        <w:t xml:space="preserve"> </w:t>
      </w:r>
      <m:oMath>
        <m:sSub>
          <m:e>
            <m:r>
              <m:t>β</m:t>
            </m:r>
          </m:e>
          <m:sub>
            <m:r>
              <m:t>4</m:t>
            </m:r>
          </m:sub>
        </m:sSub>
      </m:oMath>
      <w:r>
        <w:t xml:space="preserve">(FSTS×gender_manager), không có kỳ vọng tiên nghiệm [H4c].</w:t>
      </w:r>
    </w:p>
    <w:bookmarkEnd w:id="70"/>
    <w:bookmarkStart w:id="71"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bắt buộc (Nhóm VI).</w:t>
      </w:r>
      <w:r>
        <w:t xml:space="preserve"> </w:t>
      </w:r>
      <w:r>
        <w:t xml:space="preserve">Nhóm tham chiếu: Nhóm I (tiên tiến đổi mới).</w:t>
      </w:r>
      <w:r>
        <w:t xml:space="preserve"> </w:t>
      </w:r>
      <w:r>
        <w:t xml:space="preserve">Kỳ vọng: điểm uốn giảm dần theo j (Nhóm II đến VI); Nhóm VI có β(FSTS×ICRV_VI)</w:t>
      </w:r>
      <w:r>
        <w:t xml:space="preserve"> </w:t>
      </w:r>
      <m:oMath>
        <m:r>
          <m:rPr>
            <m:sty m:val="p"/>
          </m:rPr>
          <m:t>≤</m:t>
        </m:r>
      </m:oMath>
      <w:r>
        <w:t xml:space="preserve"> </w:t>
      </w:r>
      <w:r>
        <w:t xml:space="preserve">0.</w:t>
      </w:r>
      <w:r>
        <w:t xml:space="preserve"> </w:t>
      </w:r>
      <w:r>
        <w:t xml:space="preserve">Lưu ý: Country FE bị omit trong M6 do ICRV_j là biến cấp quốc gia bất biến theo thời gian, thay bằng Year FE + Region FE (6 vùng).</w:t>
      </w:r>
    </w:p>
    <w:bookmarkEnd w:id="71"/>
    <w:bookmarkStart w:id="72"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w:t>
      </w:r>
      <w:r>
        <w:t xml:space="preserve">$10%),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oMath>
      <w:r>
        <w:t xml:space="preserve">(</w:t>
      </w:r>
      <m:oMath>
        <m:sSup>
          <m:e>
            <m:r>
              <m:rPr>
                <m:nor/>
                <m:sty m:val="p"/>
              </m:rPr>
              <m:t>FSTS</m:t>
            </m:r>
          </m:e>
          <m:sup>
            <m:r>
              <m:t>2</m:t>
            </m:r>
          </m:sup>
        </m:sSup>
      </m:oMath>
      <w:r>
        <w:t xml:space="preserve">×DAI) &gt; 0 trong Nhóm I;</w:t>
      </w:r>
      <w:r>
        <w:t xml:space="preserve"> </w:t>
      </w:r>
      <m:oMath>
        <m:sSub>
          <m:e>
            <m:r>
              <m:t>β</m:t>
            </m:r>
          </m:e>
          <m:sub>
            <m:r>
              <m:t>3</m:t>
            </m:r>
          </m:sub>
        </m:sSub>
      </m:oMath>
      <w:r>
        <w:t xml:space="preserve">(TCI) &gt; 0;</w:t>
      </w:r>
      <w:r>
        <w:t xml:space="preserve"> </w:t>
      </w:r>
      <m:oMath>
        <m:sSub>
          <m:e>
            <m:r>
              <m:t>β</m:t>
            </m:r>
          </m:e>
          <m:sub>
            <m:r>
              <m:t>1</m:t>
            </m:r>
          </m:sub>
        </m:sSub>
      </m:oMath>
      <w:r>
        <w:t xml:space="preserve">₂/</w:t>
      </w:r>
      <m:oMath>
        <m:sSub>
          <m:e>
            <m:r>
              <m:t>β</m:t>
            </m:r>
          </m:e>
          <m:sub>
            <m:r>
              <m:t>1</m:t>
            </m:r>
          </m:sub>
        </m:sSub>
      </m:oMath>
      <w:r>
        <w:t xml:space="preserve">₃</w:t>
      </w:r>
      <w:r>
        <w:t xml:space="preserve"> </w:t>
      </w:r>
      <m:oMath>
        <m:r>
          <m:rPr>
            <m:sty m:val="p"/>
          </m:rPr>
          <m:t>≠</m:t>
        </m:r>
      </m:oMath>
      <w:r>
        <w:t xml:space="preserve"> </w:t>
      </w:r>
      <m:oMath>
        <m:sSub>
          <m:e>
            <m:r>
              <m:t>β</m:t>
            </m:r>
          </m:e>
          <m:sub>
            <m:r>
              <m:t>1</m:t>
            </m:r>
          </m:sub>
        </m:sSub>
      </m:oMath>
      <w:r>
        <w:t xml:space="preserve">₀/</w:t>
      </w:r>
      <m:oMath>
        <m:sSub>
          <m:e>
            <m:r>
              <m:t>β</m:t>
            </m:r>
          </m:e>
          <m:sub>
            <m:r>
              <m:t>1</m:t>
            </m:r>
          </m:sub>
        </m:sSub>
      </m:oMath>
      <w:r>
        <w:t xml:space="preserve">₁ (dịch chuyển thời gian).</w:t>
      </w:r>
      <w:r>
        <w:t xml:space="preserve"> </w:t>
      </w:r>
      <w:r>
        <w:t xml:space="preserve">Yêu cầu mẫu: với k = 13 tham số trọng tâm + controls, n</w:t>
      </w:r>
      <w:r>
        <w:t xml:space="preserve"> </w:t>
      </w:r>
      <m:oMath>
        <m:r>
          <m:rPr>
            <m:sty m:val="p"/>
          </m:rPr>
          <m:t>≥</m:t>
        </m:r>
      </m:oMath>
      <w:r>
        <w:t xml:space="preserve"> </w:t>
      </w:r>
      <w:r>
        <w:t xml:space="preserve">5.000 cần thiết cho power &gt; 0,80 tại</w:t>
      </w:r>
      <w:r>
        <w:t xml:space="preserve"> </w:t>
      </w:r>
      <m:oMath>
        <m:sSup>
          <m:e>
            <m:r>
              <m:t>f</m:t>
            </m:r>
          </m:e>
          <m:sup>
            <m:r>
              <m:t>2</m:t>
            </m:r>
          </m:sup>
        </m:sSup>
      </m:oMath>
      <w:r>
        <w:t xml:space="preserve"> </w:t>
      </w:r>
      <w:r>
        <w:t xml:space="preserve">= 0,02, dễ dàng đáp ứng với pool 101.185.</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oMath>
            <w:r>
              <w:t xml:space="preserve"> </w:t>
            </w:r>
            <w:r>
              <w:t xml:space="preserve">&gt; 0</w:t>
            </w:r>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oMath>
            <w:r>
              <w:t xml:space="preserve"> </w:t>
            </w:r>
            <w:r>
              <w:t xml:space="preserve">&lt; 0;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(S-curve)</w:t>
            </w:r>
          </w:p>
        </w:tc>
        <w:tc>
          <w:tcPr/>
          <w:p>
            <w:pPr>
              <w:pStyle w:val="Compact"/>
              <w:jc w:val="left"/>
            </w:pPr>
            <m:oMath>
              <m:sSub>
                <m:e>
                  <m:r>
                    <m:t>β</m:t>
                  </m:r>
                </m:e>
                <m:sub>
                  <m:r>
                    <m:t>3</m:t>
                  </m:r>
                </m:sub>
              </m:sSub>
            </m:oMath>
            <w:r>
              <w:t xml:space="preserve"> </w:t>
            </w:r>
            <w:r>
              <w:t xml:space="preserve">&gt; 0; F-test</w:t>
            </w:r>
            <w:r>
              <w:t xml:space="preserve"> </w:t>
            </w:r>
            <m:oMath>
              <m:sSub>
                <m:e>
                  <m:r>
                    <m:t>β</m:t>
                  </m:r>
                </m:e>
                <m:sub>
                  <m:r>
                    <m:t>3</m:t>
                  </m:r>
                </m:sub>
              </m:sSub>
            </m:oMath>
            <w:r>
              <w:t xml:space="preserve"> </w:t>
            </w:r>
            <w:r>
              <w:t xml:space="preserve">= 0</w:t>
            </w:r>
          </w:p>
        </w:tc>
      </w:tr>
      <w:tr>
        <w:tc>
          <w:tcPr/>
          <w:p>
            <w:pPr>
              <w:pStyle w:val="Compact"/>
              <w:jc w:val="left"/>
            </w:pPr>
            <w:r>
              <w:t xml:space="preserve">M3</w:t>
            </w:r>
          </w:p>
        </w:tc>
        <w:tc>
          <w:tcPr/>
          <w:p>
            <w:pPr>
              <w:pStyle w:val="Compact"/>
              <w:jc w:val="left"/>
            </w:pPr>
            <w:r>
              <w:t xml:space="preserve">+ TCI, FSTS×TCI,</w:t>
            </w:r>
            <w:r>
              <w:t xml:space="preserve"> </w:t>
            </w:r>
            <m:oMath>
              <m:sSup>
                <m:e>
                  <m:r>
                    <m:rPr>
                      <m:nor/>
                      <m:sty m:val="p"/>
                    </m:rPr>
                    <m:t>FSTS</m:t>
                  </m:r>
                </m:e>
                <m:sup>
                  <m:r>
                    <m:t>2</m:t>
                  </m:r>
                </m:sup>
              </m:sSup>
            </m:oMath>
            <w:r>
              <w:t xml:space="preserve">×TCI</w:t>
            </w:r>
          </w:p>
        </w:tc>
        <w:tc>
          <w:tcPr/>
          <w:p>
            <w:pPr>
              <w:pStyle w:val="Compact"/>
              <w:jc w:val="left"/>
            </w:pPr>
            <w:r>
              <w:t xml:space="preserve">H2</w:t>
            </w:r>
          </w:p>
        </w:tc>
        <w:tc>
          <w:tcPr/>
          <w:p>
            <w:pPr>
              <w:pStyle w:val="Compact"/>
              <w:jc w:val="left"/>
            </w:pPr>
            <m:oMath>
              <m:sSub>
                <m:e>
                  <m:r>
                    <m:t>β</m:t>
                  </m:r>
                </m:e>
                <m:sub>
                  <m:r>
                    <m:t>3</m:t>
                  </m:r>
                </m:sub>
              </m:sSub>
            </m:oMath>
            <w:r>
              <w:t xml:space="preserve"> </w:t>
            </w:r>
            <w:r>
              <w:t xml:space="preserve">&gt; 0;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w:t>
            </w:r>
          </w:p>
        </w:tc>
      </w:tr>
      <w:tr>
        <w:tc>
          <w:tcPr/>
          <w:p>
            <w:pPr>
              <w:pStyle w:val="Compact"/>
              <w:jc w:val="left"/>
            </w:pPr>
            <w:r>
              <w:t xml:space="preserve">M4</w:t>
            </w:r>
          </w:p>
        </w:tc>
        <w:tc>
          <w:tcPr/>
          <w:p>
            <w:pPr>
              <w:pStyle w:val="Compact"/>
              <w:jc w:val="left"/>
            </w:pPr>
            <w:r>
              <w:t xml:space="preserve">+ DAI, FSTS×DAI,</w:t>
            </w:r>
            <w:r>
              <w:t xml:space="preserve"> </w:t>
            </w:r>
            <m:oMath>
              <m:sSup>
                <m:e>
                  <m:r>
                    <m:rPr>
                      <m:nor/>
                      <m:sty m:val="p"/>
                    </m:rPr>
                    <m:t>FSTS</m:t>
                  </m:r>
                </m:e>
                <m:sup>
                  <m:r>
                    <m:t>2</m:t>
                  </m:r>
                </m:sup>
              </m:sSup>
            </m:oMath>
            <w:r>
              <w:t xml:space="preserve">×DAI</w:t>
            </w:r>
          </w:p>
        </w:tc>
        <w:tc>
          <w:tcPr/>
          <w:p>
            <w:pPr>
              <w:pStyle w:val="Compact"/>
              <w:jc w:val="left"/>
            </w:pPr>
            <w:r>
              <w:t xml:space="preserve">H3a/H3b</w:t>
            </w:r>
          </w:p>
        </w:tc>
        <w:tc>
          <w:tcPr/>
          <w:p>
            <w:pPr>
              <w:pStyle w:val="Compact"/>
              <w:jc w:val="left"/>
            </w:pPr>
            <w:r>
              <w:t xml:space="preserve">H3a: β(FSTS×DAI) &gt; 0 Nhóm III-V; H3b: β(</w:t>
            </w:r>
            <m:oMath>
              <m:sSup>
                <m:e>
                  <m:r>
                    <m:rPr>
                      <m:nor/>
                      <m:sty m:val="p"/>
                    </m:rPr>
                    <m:t>FSTS</m:t>
                  </m:r>
                </m:e>
                <m:sup>
                  <m:r>
                    <m:t>2</m:t>
                  </m:r>
                </m:sup>
              </m:sSup>
            </m:oMath>
            <w:r>
              <w:t xml:space="preserve">×DAI)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oMath>
            <w:r>
              <w:t xml:space="preserve">(FSTS×exp) &gt; 0; H4b:</w:t>
            </w:r>
            <w:r>
              <w:t xml:space="preserve"> </w:t>
            </w:r>
            <m:oMath>
              <m:sSub>
                <m:e>
                  <m:r>
                    <m:t>β</m:t>
                  </m:r>
                </m:e>
                <m:sub>
                  <m:r>
                    <m:t>4</m:t>
                  </m:r>
                </m:sub>
              </m:sSub>
            </m:oMath>
            <w:r>
              <w:t xml:space="preserve">(FSTS×educ) &gt; 0; H4c: two-sided</w:t>
            </w:r>
          </w:p>
        </w:tc>
      </w:tr>
      <w:tr>
        <w:tc>
          <w:tcPr/>
          <w:p>
            <w:pPr>
              <w:pStyle w:val="Compact"/>
              <w:jc w:val="left"/>
            </w:pPr>
            <w:r>
              <w:t xml:space="preserve">M6</w:t>
            </w:r>
          </w:p>
        </w:tc>
        <w:tc>
          <w:tcPr/>
          <w:p>
            <w:pPr>
              <w:pStyle w:val="Compact"/>
              <w:jc w:val="left"/>
            </w:pPr>
            <w:r>
              <w:t xml:space="preserve">+ ICRV_j × FSTS, ICRV_j ×</w:t>
            </w:r>
            <w:r>
              <w:t xml:space="preserve"> </w:t>
            </w:r>
            <m:oMath>
              <m:sSup>
                <m:e>
                  <m:r>
                    <m:rPr>
                      <m:nor/>
                      <m:sty m:val="p"/>
                    </m:rPr>
                    <m:t>FSTS</m:t>
                  </m:r>
                </m:e>
                <m:sup>
                  <m:r>
                    <m:t>2</m:t>
                  </m:r>
                </m:sup>
              </m:sSup>
            </m:oMath>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177"/>
        <w:gridCol w:w="535"/>
        <w:gridCol w:w="1605"/>
        <w:gridCol w:w="2782"/>
        <w:gridCol w:w="1819"/>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w:t>
      </w:r>
      <w:r>
        <w:t xml:space="preserve"> </w:t>
      </w:r>
      <m:oMath>
        <m:sSup>
          <m:e>
            <m:r>
              <m:rPr>
                <m:nor/>
                <m:sty m:val="p"/>
              </m:rPr>
              <m:t>FSTS</m:t>
            </m:r>
          </m:e>
          <m:sup>
            <m:r>
              <m:t>2</m:t>
            </m:r>
          </m:sup>
        </m:sSup>
      </m:oMath>
      <w:r>
        <w:t xml:space="preserve">.</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w:t>
      </w:r>
      <w:r>
        <w:t xml:space="preserve">$3/4 items không thiếu (Cronbach α ước tính 0,55-0,65, nhất quán với tổng hợp formative, Coltman et al., 2008).</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bắt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w:t>
      </w:r>
      <w:r>
        <w:t xml:space="preserve">$15% trong $</w:t>
      </w:r>
      <w:r>
        <w:t xml:space="preserve">$3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w:t>
      </w:r>
      <w:r>
        <w:t xml:space="preserve"> </w:t>
      </w:r>
      <m:oMath>
        <m:r>
          <m:rPr>
            <m:sty m:val="p"/>
          </m:rPr>
          <m:t>≥</m:t>
        </m:r>
      </m:oMath>
      <w:r>
        <w:t xml:space="preserve"> </w:t>
      </w:r>
      <w:r>
        <w:t xml:space="preserve">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w:t>
      </w:r>
      <w:r>
        <w:t xml:space="preserve"> </w:t>
      </w:r>
      <m:oMath>
        <m:sSub>
          <m:e>
            <m:r>
              <m:t>β</m:t>
            </m:r>
          </m:e>
          <m:sub>
            <m:r>
              <m:t>1</m:t>
            </m:r>
          </m:sub>
        </m:sSub>
      </m:oMath>
      <w:r>
        <w:t xml:space="preserve"> </w:t>
      </w:r>
      <w:r>
        <w:t xml:space="preserve">&gt; 0 và</w:t>
      </w:r>
      <w:r>
        <w:t xml:space="preserve"> </w:t>
      </w:r>
      <m:oMath>
        <m:sSub>
          <m:e>
            <m:r>
              <m:t>β</m:t>
            </m:r>
          </m:e>
          <m:sub>
            <m:r>
              <m:t>2</m:t>
            </m:r>
          </m:sub>
        </m:sSub>
      </m:oMath>
      <w:r>
        <w:t xml:space="preserve"> </w:t>
      </w:r>
      <w:r>
        <w:t xml:space="preserve">&lt; 0; tính TP = −</w:t>
      </w:r>
      <m:oMath>
        <m:sSub>
          <m:e>
            <m:r>
              <m:t>β</m:t>
            </m:r>
          </m:e>
          <m:sub>
            <m:r>
              <m:t>1</m:t>
            </m:r>
          </m:sub>
        </m:sSub>
      </m:oMath>
      <w:r>
        <w:t xml:space="preserve">/(2</w:t>
      </w:r>
      <m:oMath>
        <m:sSub>
          <m:e>
            <m:r>
              <m:t>β</m:t>
            </m:r>
          </m:e>
          <m:sub>
            <m:r>
              <m:t>2</m:t>
            </m:r>
          </m:sub>
        </m:sSub>
      </m:oMath>
      <w:r>
        <w:t xml:space="preserve">) và 95% CI bằng delta method; kiểm định H₀: độ dốc tại min(FSTS)</w:t>
      </w:r>
      <w:r>
        <w:t xml:space="preserve"> </w:t>
      </w:r>
      <m:oMath>
        <m:r>
          <m:rPr>
            <m:sty m:val="p"/>
          </m:rPr>
          <m:t>≤</m:t>
        </m:r>
      </m:oMath>
      <w:r>
        <w:t xml:space="preserve"> </w:t>
      </w:r>
      <w:r>
        <w:t xml:space="preserve">0 HOẶC độ dốc tại max(FSTS)</w:t>
      </w:r>
      <w:r>
        <w:t xml:space="preserve"> </w:t>
      </w:r>
      <m:oMath>
        <m:r>
          <m:rPr>
            <m:sty m:val="p"/>
          </m:rPr>
          <m:t>≥</m:t>
        </m:r>
      </m:oMath>
      <w:r>
        <w:t xml:space="preserve"> </w:t>
      </w:r>
      <w:r>
        <w:t xml:space="preserve">0, bác bỏ H₀, kết luận có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w:t>
      </w:r>
      <w:r>
        <w:t xml:space="preserve"> </w:t>
      </w:r>
      <m:oMath>
        <m:sSup>
          <m:e>
            <m:r>
              <m:rPr>
                <m:nor/>
                <m:sty m:val="p"/>
              </m:rPr>
              <m:t>FSTS</m:t>
            </m:r>
          </m:e>
          <m:sup>
            <m:r>
              <m:t>2</m:t>
            </m:r>
          </m:sup>
        </m:sSup>
      </m:oMath>
      <w:r>
        <w:t xml:space="preserve"> </w:t>
      </w:r>
      <w:r>
        <w:t xml:space="preserve">giữa Year_bucket cho H6.</w:t>
      </w:r>
    </w:p>
    <w:p>
      <w:pPr>
        <w:pStyle w:val="BodyText"/>
      </w:pPr>
      <w:r>
        <w:t xml:space="preserve">LOWESS phi tham số: smoother cục bộ (bandwidth = 0,4) vẽ ln(LP) ~ FSTS, nếu hình dạng visual nhất quán với chữ U ngược, đây là bằng chứng xác nhận không phụ thuộc giả định phân phối.</w:t>
      </w:r>
    </w:p>
    <w:p>
      <w:pPr>
        <w:pStyle w:val="BodyText"/>
      </w:pPr>
      <w:r>
        <w:t xml:space="preserve">Tầng 4, Nhân rộng mẫu con: Pool đủ lớn (101.185) cho phép chạy M0-M7 riêng cho từng nhóm ICRV (Nhóm I: ~6.500; Nhóm IV: ~28.000)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thành ROS; (b) Biến độc lập thành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không tìm thấy phi tuyến; (b) Thay TCI bằng nhiễu,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w:t>
      </w:r>
      <w:r>
        <w:t xml:space="preserve"> </w:t>
      </w:r>
      <m:oMath>
        <m:sSub>
          <m:e>
            <m:r>
              <m:t>β</m:t>
            </m:r>
          </m:e>
          <m:sub>
            <m:r>
              <m:t>1</m:t>
            </m:r>
          </m:sub>
        </m:sSub>
      </m:oMath>
      <w:r>
        <w:t xml:space="preserve">(FSTS) trong khoảng [0,1; 3,0];</w:t>
      </w:r>
      <w:r>
        <w:t xml:space="preserve"> </w:t>
      </w:r>
      <m:oMath>
        <m:sSub>
          <m:e>
            <m:r>
              <m:t>β</m:t>
            </m:r>
          </m:e>
          <m:sub>
            <m:r>
              <m:t>2</m:t>
            </m:r>
          </m:sub>
        </m:sSub>
      </m:oMath>
      <w:r>
        <w:t xml:space="preserve">(</w:t>
      </w:r>
      <m:oMath>
        <m:sSup>
          <m:e>
            <m:r>
              <m:rPr>
                <m:nor/>
                <m:sty m:val="p"/>
              </m:rPr>
              <m:t>FSTS</m:t>
            </m:r>
          </m:e>
          <m:sup>
            <m:r>
              <m:t>2</m:t>
            </m:r>
          </m:sup>
        </m:sSup>
      </m:oMath>
      <w:r>
        <w:t xml:space="preserve">) trong khoảng [−2,5; −0,1]; điểm uốn trong khoảng [20%; 90%]; β(TCI) trong khoảng [0,05; 0,5]; β(</w:t>
      </w:r>
      <m:oMath>
        <m:sSup>
          <m:e>
            <m:r>
              <m:rPr>
                <m:nor/>
                <m:sty m:val="p"/>
              </m:rPr>
              <m:t>FSTS</m:t>
            </m:r>
          </m:e>
          <m:sup>
            <m:r>
              <m:t>2</m:t>
            </m:r>
          </m:sup>
        </m:sSup>
      </m:oMath>
      <w:r>
        <w:t xml:space="preserve">×DAI) Nhóm I trong khoảng [0,5; 6,0].</w:t>
      </w:r>
    </w:p>
    <w:p>
      <w:pPr>
        <w:pStyle w:val="BodyText"/>
      </w:pPr>
      <w:r>
        <w:t xml:space="preserve">Quy trình báo cáo: nếu $</w:t>
      </w:r>
      <w:r>
        <w:t xml:space="preserve">$4/6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các nghiên cứu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các nghiên cứu.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bắt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dòng nghiên cứu về quan hệ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các nghiên cứu châu Á kiểm định đồng thời I×TCI×DAI điều tiết ba chiều kết hợp với tính không đồng nhất thời gian, cho phép kiểm tra xem TCI và DAI là bổ sung hay thay thế trong điều tiết I-P.</w:t>
      </w:r>
    </w:p>
    <w:p>
      <w:pPr>
        <w:pStyle w:val="BodyText"/>
      </w:pPr>
      <w:r>
        <w:t xml:space="preserve">Đóng góp 6: Pool 101.185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các nghiên cứu về quan hệ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w:t>
      </w:r>
      <m:oMath>
        <m:sSup>
          <m:e>
            <m:r>
              <m:rPr>
                <m:nor/>
                <m:sty m:val="p"/>
              </m:rPr>
              <m:t>FSTS</m:t>
            </m:r>
          </m:e>
          <m:sup>
            <m:r>
              <m:t>2</m:t>
            </m:r>
          </m:sup>
        </m:sSup>
      </m:oMath>
      <w:r>
        <w:t xml:space="preserve"> </w:t>
      </w:r>
      <w:r>
        <w:t xml:space="preserve">=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w:t>
      </w:r>
      <m:oMath>
        <m:sSup>
          <m:e>
            <m:r>
              <m:rPr>
                <m:nor/>
                <m:sty m:val="p"/>
              </m:rPr>
              <m:t>FSTS</m:t>
            </m:r>
          </m:e>
          <m:sup>
            <m:r>
              <m:t>2</m:t>
            </m:r>
          </m:sup>
        </m:sSup>
      </m:oMath>
      <w:r>
        <w:t xml:space="preserve">×DAI)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bắt buộc; H6 (Thời gian) DAI dịch chuyển 2009 đến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under review):</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45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w:t>
      </w:r>
      <w:r>
        <w:t xml:space="preserve"> </w:t>
      </w:r>
      <m:oMath>
        <m:sSup>
          <m:e>
            <m:r>
              <m:t>I</m:t>
            </m:r>
          </m:e>
          <m:sup>
            <m:r>
              <m:t>2</m:t>
            </m:r>
          </m:sup>
        </m:sSup>
      </m:oMath>
      <w:r>
        <w:t xml:space="preserve">=62,4%; ICRV Q_M=17,35 (p = 0,002), H1 điều tiết thể chế được hỗ trợ; cDAI và DPL không có ý nghĩa (H2, H3 không được hỗ trợ). Phát hiện chính: publication bias xác nhận qua Begg-Mazumdar τ=−0,134 (p &lt; 0,001), trim-and-fill k=58 imputed,</w:t>
      </w:r>
      <w:r>
        <w:t xml:space="preserve"> </w:t>
      </w:r>
      <w:r>
        <w:rPr>
          <w:iCs/>
          <w:i/>
        </w:rPr>
        <w:t xml:space="preserve">r</w:t>
      </w:r>
      <w:r>
        <w:t xml:space="preserve">_adj=0,035, pooled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P7: Kiểm định H1-H6 toàn pool 45 nền kinh tế (JIBS, under revision):</w:t>
      </w:r>
      <w:r>
        <w:t xml:space="preserve"> </w:t>
      </w:r>
      <w:r>
        <w:t xml:space="preserve">P7 đã hoàn thành, N = 82.302-98.658 doanh nghiệp, 45 nền kinh tế châu Á và Thái Bình Dương, 98 country-year waves, 6 nhóm ICRV. Kết quả xác nhận: H1 (phi tuyến) TP$</w:t>
      </w:r>
      <m:oMath>
        <m:r>
          <m:t>36</m:t>
        </m:r>
      </m:oMath>
      <w:r>
        <w:t xml:space="preserve">$+0.344 (p &lt; 0,05); H3 DAI universal level effect β = +0,155 (p &lt; 0,001) + cả hai curvature interactions; H5 ICRV gradient, TP</w:t>
      </w:r>
      <w:r>
        <w:t xml:space="preserve"> </w:t>
      </w:r>
      <w:r>
        <w:rPr>
          <w:bCs/>
          <w:b/>
        </w:rPr>
        <w:t xml:space="preserve">giảm</w:t>
      </w:r>
      <w:r>
        <w:t xml:space="preserve"> </w:t>
      </w:r>
      <w:r>
        <w:t xml:space="preserve">từ SIDS/Frontier (~55%) xuống Advanced Innovation (~28%); DAI×ICRV p = 0,049 (digital shield strongest khi thể chế yếu). P3 (Nhóm IV), P4 (Nhóm I), P5 (Nhóm III) cung cấp neo đậu cross-context đã được xác nhận bởi pooled 49-economy results.</w:t>
      </w:r>
    </w:p>
    <w:p>
      <w:pPr>
        <w:pStyle w:val="BodyText"/>
      </w:pPr>
      <w:r>
        <w:rPr>
          <w:bCs/>
          <w:b/>
        </w:rPr>
        <w:t xml:space="preserve">Hướng 3, P8: SIDS Thái Bình Dương, gánh nặng bắt buộc (World Development, under revision):</w:t>
      </w:r>
      <w:r>
        <w:t xml:space="preserve"> </w:t>
      </w:r>
      <w:r>
        <w:t xml:space="preserve">P8 đã hoàn thành,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bắt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từ TCI đến năng suất và từ DAI đến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1"/>
    <w:bookmarkStart w:id="96" w:name="phụ-lục"/>
    <w:p>
      <w:pPr>
        <w:pStyle w:val="Heading2"/>
      </w:pPr>
      <w:r>
        <w:t xml:space="preserve">PHỤ LỤC</w:t>
      </w:r>
    </w:p>
    <w:bookmarkStart w:id="92" w:name="X4f7d30b1bba41a8911338bb6cb3079208caeb7a"/>
    <w:p>
      <w:pPr>
        <w:pStyle w:val="Heading3"/>
      </w:pPr>
      <w:r>
        <w:t xml:space="preserve">Phụ lục A, Danh sách 47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47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under review): Mar, K. S., Đỗ, T. H., &amp; Phan, A. T. (2026). Phân tích 623 doanh nghiệp WBES 2023. Kết quả chính: đường cong I-P chủ yếu dương; điểm uốn hàm ý ~82% (vùng thưa dữ liệu; Lind-Mehlum p = 0,303); DAI×</w:t>
      </w:r>
      <m:oMath>
        <m:sSup>
          <m:e>
            <m:r>
              <m:rPr>
                <m:nor/>
                <m:sty m:val="p"/>
              </m:rPr>
              <m:t>FSTS</m:t>
            </m:r>
          </m:e>
          <m:sup>
            <m:r>
              <m:t>2</m:t>
            </m:r>
          </m:sup>
        </m:sSup>
      </m:oMath>
      <w:r>
        <w:t xml:space="preserve"> </w:t>
      </w:r>
      <w:r>
        <w:t xml:space="preserve">= +3,119 (p = 0,005), DAI là nguồn lực mở rộng tình huống; TCI β = 0,153.</w:t>
      </w:r>
    </w:p>
    <w:p>
      <w:pPr>
        <w:pStyle w:val="BodyText"/>
      </w:pPr>
      <w:r>
        <w:t xml:space="preserve">P5, Trung Quốc (IJOEM, under review): Đỗ, T. H., &amp; Phan, A. T. (2026). Phân tích 4.559 doanh nghiệp WBES hai sóng 2012/2024. Kết quả chính: chữ U ngược bền vững cấu trúc, điểm uốn 49,4% (2012), 47,2% (2024), Paternoster</w:t>
      </w:r>
      <w:r>
        <w:t xml:space="preserve"> </w:t>
      </w:r>
      <m:oMath>
        <m:sSup>
          <m:e>
            <m:r>
              <m:rPr>
                <m:nor/>
                <m:sty m:val="p"/>
              </m:rPr>
              <m:t>FSTS</m:t>
            </m:r>
          </m:e>
          <m:sup>
            <m:r>
              <m:t>2</m:t>
            </m:r>
          </m:sup>
        </m:sSup>
      </m:oMath>
      <w:r>
        <w:t xml:space="preserve"> </w:t>
      </w:r>
      <w:r>
        <w:t xml:space="preserve">p = 0,545 (không có sự khác biệt đáng kể); TCI tăng cường theo thời gian (+0,260 lên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w:t>
      </w:r>
      <w:r>
        <w:t xml:space="preserve"> </w:t>
      </w:r>
      <m:oMath>
        <m:sSup>
          <m:e>
            <m:r>
              <m:t>R</m:t>
            </m:r>
          </m:e>
          <m:sup>
            <m:r>
              <m:t>2</m:t>
            </m:r>
          </m:sup>
        </m:sSup>
      </m:oMath>
      <w:r>
        <w:t xml:space="preserve"> </w:t>
      </w:r>
      <w:r>
        <w:t xml:space="preserve">báo cáo cho từng mô hình cộng với</w:t>
      </w:r>
      <w:r>
        <w:t xml:space="preserve"> </w:t>
      </w:r>
      <m:oMath>
        <m:r>
          <m:t>Δ</m:t>
        </m:r>
        <m:sSup>
          <m:e>
            <m:r>
              <m:t>R</m:t>
            </m:r>
          </m:e>
          <m:sup>
            <m:r>
              <m:t>2</m:t>
            </m:r>
          </m:sup>
        </m:sSup>
      </m:oMath>
      <w:r>
        <w:t xml:space="preserve"> </w:t>
      </w:r>
      <w:r>
        <w:t xml:space="preserve">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w:t>
      </w:r>
      <w:r>
        <w:rPr>
          <w:rStyle w:val="BaseNTok"/>
        </w:rPr>
        <w:t xml:space="preserve">text</w:t>
      </w:r>
      <w:r>
        <w:rPr>
          <w:rStyle w:val="NormalTok"/>
        </w:rPr>
        <w:t xml:space="preserve">{FSTS}^2$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$\geq$ 50 (Cameron &amp; Miller, 2015)</w:t>
      </w:r>
      <w:r>
        <w:br/>
      </w:r>
      <w:r>
        <w:rPr>
          <w:rStyle w:val="NormalTok"/>
        </w:rPr>
        <w:t xml:space="preserve">* Pool 47 quốc gia × 5 ngành chính $\approx$ 235 </w:t>
      </w:r>
      <w:r>
        <w:rPr>
          <w:rStyle w:val="KeywordTok"/>
        </w:rPr>
        <w:t xml:space="preserve">cluster</w:t>
      </w:r>
      <w:r>
        <w:rPr>
          <w:rStyle w:val="NormalTok"/>
        </w:rPr>
        <w:t xml:space="preserve">,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5"/>
    <w:bookmarkEnd w:id="96"/>
    <w:bookmarkEnd w:id="9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2026-05-26T13:34:13Z</dcterms:created>
  <dcterms:modified xsi:type="dcterms:W3CDTF">2026-05-26T13:34:13Z</dcterms:modified>
</cp:coreProperties>
</file>

<file path=docProps/custom.xml><?xml version="1.0" encoding="utf-8"?>
<Properties xmlns="http://schemas.openxmlformats.org/officeDocument/2006/custom-properties" xmlns:vt="http://schemas.openxmlformats.org/officeDocument/2006/docPropsVTypes"/>
</file>