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điểm uốn tối ưu không cố định mà</w:t>
      </w:r>
      <w:r>
        <w:t xml:space="preserve"> </w:t>
      </w:r>
      <w:r>
        <w:rPr>
          <w:bCs/>
          <w:b/>
        </w:rPr>
        <w:t xml:space="preserve">dịch chuyển có hệ thống dọc theo gradient ICRV</w:t>
      </w:r>
      <w:r>
        <w:t xml:space="preserve"> </w:t>
      </w:r>
      <w:r>
        <w:t xml:space="preserve">—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6f5be0f1b8d9b19c66e3e5d543582515ce584a9"/>
    <w:p>
      <w:pPr>
        <w:pStyle w:val="Heading2"/>
      </w:pPr>
      <w:r>
        <w:t xml:space="preserve">4.3 Kết quả đa quốc gia trên 45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2026-05-26T13:34:33Z</dcterms:created>
  <dcterms:modified xsi:type="dcterms:W3CDTF">2026-05-26T13:34:33Z</dcterms:modified>
</cp:coreProperties>
</file>

<file path=docProps/custom.xml><?xml version="1.0" encoding="utf-8"?>
<Properties xmlns="http://schemas.openxmlformats.org/officeDocument/2006/custom-properties" xmlns:vt="http://schemas.openxmlformats.org/officeDocument/2006/docPropsVTypes"/>
</file>