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shape is</w:t>
      </w:r>
      <w:r>
        <w:t xml:space="preserve"> </w:t>
      </w:r>
      <w:r>
        <w:rPr>
          <w:iCs/>
          <w:i/>
        </w:rPr>
        <w:t xml:space="preserve">jointly conditioned</w:t>
      </w:r>
      <w:r>
        <w:t xml:space="preserve"> </w:t>
      </w:r>
      <w:r>
        <w:t xml:space="preserve">by the institutional regime in which a firm operates and by the firm’s digital capability — with the institutional regime governing the curve’s amplitude and digital capability reshaping it, the latter operating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 from advanced innovation-driven economies (Singapore, Korea, Taiwan, HongKong, Israel) to Pacific Small Island Developing States (Vanuatu, Solomon Islands, Fiji, Tonga, Samoa, Kiribati, Papua New Guinea, Timor-Leste) and Gulf advanced-resource economies (Bahrain, Kuwait, Qatar, Brunei, Saudi Arabia)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 ranging from 34.1% to 39.5% —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 higher TCI raises baseline performance</w:t>
      </w:r>
    </w:p>
    <w:p>
      <w:pPr>
        <w:numPr>
          <w:ilvl w:val="0"/>
          <w:numId w:val="1001"/>
        </w:numPr>
        <w:pStyle w:val="Compact"/>
      </w:pPr>
      <w:r>
        <w:t xml:space="preserve">FSTS×TCI: β = −0.111 (NS) — the ascending limb interaction is not significant</w:t>
      </w:r>
    </w:p>
    <w:p>
      <w:pPr>
        <w:numPr>
          <w:ilvl w:val="0"/>
          <w:numId w:val="1001"/>
        </w:numPr>
        <w:pStyle w:val="Compact"/>
      </w:pPr>
      <w:r>
        <w:t xml:space="preserve">FSTS²×TCI: β = −0.191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 controlling for TCI, DAI, and firm characteristics —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 even mildly convex within the observed range —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w:t>
      </w:r>
      <w:r>
        <w:t xml:space="preserve">— a stock property of productivity —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 a pronounced inverted-U in weaker-institution economies, flattening toward a near-linear profile in advanced ones — while digital capability reshapes the curve and relocates its effective optimum (H3). This dissolves the apparent contradiction between studies reporting positive-linear, inverted-U, and null effects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37% foreign sales intensity, robust across 45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+0.052, p = .049)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 peaking at approximately 37% export intensity — yet its optimum is jointly conditioned by institutional regime and digital capability — institutions governing the curve’s amplitude and digital capability reshaping it — with digital capability operating as a partial substitute for institutional strength. Three implications follow. First, for firms on the ascending limb (FSTS &lt; 36%),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3"/>
    <w:bookmarkStart w:id="5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2026-05-26T13:36:07Z</dcterms:created>
  <dcterms:modified xsi:type="dcterms:W3CDTF">2026-05-26T13:36:07Z</dcterms:modified>
</cp:coreProperties>
</file>

<file path=docProps/custom.xml><?xml version="1.0" encoding="utf-8"?>
<Properties xmlns="http://schemas.openxmlformats.org/officeDocument/2006/custom-properties" xmlns:vt="http://schemas.openxmlformats.org/officeDocument/2006/docPropsVTypes"/>
</file>