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This study argues that when all three are absent at once, as they are in Pacific Small Island Developing States (SIDS), the expected non-linear pattern collapses into a monotone negative relationship. We term this the</w:t>
      </w:r>
      <w:r>
        <w:t xml:space="preserve"> </w:t>
      </w:r>
      <w:r>
        <w:rPr>
          <w:bCs/>
          <w:b/>
        </w:rPr>
        <w:t xml:space="preserve">Forced Internationalization Penalty (FIP)</w:t>
      </w:r>
      <w:r>
        <w:t xml:space="preserve">. FIP is not the downward phase-1 slope of three-stage internationalization theory. It is not a transient learning cost that eventually crosses a turning point; rather, it is a persistent structural condition that arises from the compulsion to export despite systemic disadvantages. Drawing on World Bank Enterprise Survey data from 1,469 firms across nine Pacific SIDS economies (2009–2025), the analysis indicates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both significant moderators in mainland Asian contexts, turn out to be null in the SIDS environment. This pattern is consistent with the FIP mechanism: where the structural prerequisites are absent, firm-level capabilities cannot redirect the I-P relationship toward positive territory. These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it introduces and theoretically defines FIP as a boundary condition of the inverted-U paradigm, distinguishing it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suggests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2026-05-26T13:36:12Z</dcterms:created>
  <dcterms:modified xsi:type="dcterms:W3CDTF">2026-05-26T13:36:12Z</dcterms:modified>
</cp:coreProperties>
</file>

<file path=docProps/custom.xml><?xml version="1.0" encoding="utf-8"?>
<Properties xmlns="http://schemas.openxmlformats.org/officeDocument/2006/custom-properties" xmlns:vt="http://schemas.openxmlformats.org/officeDocument/2006/docPropsVTypes"/>
</file>