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Trường Kinh tế, Đại học Cần Thơ, huongp1323001@gstudent.ctu.edu.vn, ORCID:</w:t>
      </w:r>
      <w:r>
        <w:t xml:space="preserve"> </w:t>
      </w:r>
      <w:hyperlink r:id="rId20">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Trường Kinh tế, Đại học Cần Thơ, patu@ctu.edu.vn, ORCID:</w:t>
      </w:r>
      <w:r>
        <w:t xml:space="preserve"> </w:t>
      </w:r>
      <w:hyperlink r:id="rId21">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xuất khẩu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các nghiên cứu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3"/>
    <w:bookmarkStart w:id="24" w:name="giới-thiệu"/>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các nghiên cứu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4"/>
    <w:bookmarkStart w:id="31" w:name="lý-thuyết-và-giả-thuyết"/>
    <w:p>
      <w:pPr>
        <w:pStyle w:val="Heading2"/>
      </w:pPr>
      <w:r>
        <w:t xml:space="preserve">2. Lý thuyết và giả thuyết</w:t>
      </w:r>
    </w:p>
    <w:bookmarkStart w:id="25" w:name="mối-quan-hệ-ip-hình-chữ-u-ngược"/>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xuất khẩu vượt qua điểm tối ưu chi phí-lợi ích.</w:t>
      </w:r>
    </w:p>
    <w:bookmarkEnd w:id="25"/>
    <w:bookmarkStart w:id="26" w:name="ổn-định-theo-thời-gian-của-độ-cong-ip"/>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w:t>
      </w:r>
      <w:r>
        <w:t xml:space="preserve"> </w:t>
      </w:r>
      <w:r>
        <w:t xml:space="preserve">“</w:t>
      </w:r>
      <w:r>
        <w:t xml:space="preserve">đặc thù theo đợt</w:t>
      </w:r>
      <w:r>
        <w:t xml:space="preserve">”</w:t>
      </w:r>
      <w:r>
        <w:t xml:space="preserve"> </w:t>
      </w:r>
      <w:r>
        <w:t xml:space="preserve">(H2a).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6"/>
    <w:bookmarkStart w:id="30" w:name="năng-lực-công-nghệ-là-biến-điều-tiết"/>
    <w:p>
      <w:pPr>
        <w:pStyle w:val="Heading3"/>
      </w:pPr>
      <w:r>
        <w:t xml:space="preserve">2.3 Năng lực công nghệ là biến điều tiết</w:t>
      </w:r>
    </w:p>
    <w:p>
      <w:pPr>
        <w:pStyle w:val="FirstParagraph"/>
      </w:pPr>
      <w:r>
        <w:t xml:space="preserve">Lý thuyết năng lực động (Teece, 2007) và các nghiên cứu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CaptionedFigure"/>
      </w:pPr>
      <w:r>
        <w:drawing>
          <wp:inline>
            <wp:extent cx="5753100" cy="3764110"/>
            <wp:effectExtent b="0" l="0" r="0" t="0"/>
            <wp:docPr descr="Hình 1: Mô hình khái niệm"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Hình 1: Mô hình khái niệm</w:t>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0"/>
    <w:bookmarkEnd w:id="31"/>
    <w:bookmarkStart w:id="35" w:name="dữ-liệu-và-phương-pháp"/>
    <w:p>
      <w:pPr>
        <w:pStyle w:val="Heading2"/>
      </w:pPr>
      <w:r>
        <w:t xml:space="preserve">3. Dữ liệu và phương pháp</w:t>
      </w:r>
    </w:p>
    <w:bookmarkStart w:id="32" w:name="dữ-liệu"/>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2"/>
    <w:bookmarkStart w:id="33" w:name="biến-số"/>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3"/>
    <w:bookmarkStart w:id="34" w:name="chiến-lược-ước-lượng"/>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4"/>
    <w:bookmarkEnd w:id="35"/>
    <w:bookmarkStart w:id="51"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xuất khẩu trung bình 5,2%, với 19,4% doanh nghiệp báo cáo cường độ xuất khẩu trực tiếp dương. Đợt 2024 (N = 1.934) cho thấy năng suất lao động log trung bình 13,01 (ĐLC 1,35), dịch chuyển mức lên 0,49 đơn vị log, và cường độ xuất khẩu trung bình 3,6%, với 12,4%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6"/>
    <w:bookmarkStart w:id="40" w:name="kết-quả-ngưỡng-chính"/>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CaptionedFigure"/>
      </w:pPr>
      <w:r>
        <w:drawing>
          <wp:inline>
            <wp:extent cx="5753100" cy="3010157"/>
            <wp:effectExtent b="0" l="0" r="0" t="0"/>
            <wp:docPr descr="Hình 2: Ước lượng điểm ngưỡng với KTC 95% theo đợt (Trung Quốc)"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Hình 2: Ước lượng điểm ngưỡng với KTC 95% theo đợt (Trung Quốc)</w:t>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0"/>
    <w:bookmarkStart w:id="44" w:name="đường-cong-ip-dự-báo"/>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CaptionedFigure"/>
      </w:pPr>
      <w:r>
        <w:drawing>
          <wp:inline>
            <wp:extent cx="5753100" cy="3330862"/>
            <wp:effectExtent b="0" l="0" r="0" t="0"/>
            <wp:docPr descr="Hình 3: Đường cong I–P dự báo theo đợt (Trung Quốc)"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Hình 3: Đường cong I–P dự báo theo đợt (Trung Quốc)</w:t>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4"/>
    <w:bookmarkStart w:id="48" w:name="điều-tiết-theo-năng-lực"/>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CaptionedFigure"/>
      </w:pPr>
      <w:r>
        <w:drawing>
          <wp:inline>
            <wp:extent cx="5753100" cy="2591800"/>
            <wp:effectExtent b="0" l="0" r="0" t="0"/>
            <wp:docPr descr="Hình 4: Hệ số hiệu ứng trực tiếp TCI và DAI theo đợt (Trung Quốc, OLS chuẩn hóa)"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Hình 4: Hệ số hiệu ứng trực tiếp TCI và DAI theo đợt (Trung Quốc, OLS chuẩn hóa)</w:t>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48"/>
    <w:bookmarkStart w:id="49" w:name="phân-tích-cơ-chế-áp-dụng-số"/>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w:t>
      </w:r>
      <w:r>
        <w:t xml:space="preserve"> </w:t>
      </w:r>
      <w:r>
        <w:t xml:space="preserve">“</w:t>
      </w:r>
      <w:r>
        <w:t xml:space="preserve">phác thảo cơ chế mô tả</w:t>
      </w:r>
      <w:r>
        <w:t xml:space="preserve">”</w:t>
      </w:r>
      <w:r>
        <w:t xml:space="preserve"> </w:t>
      </w:r>
      <w:r>
        <w:t xml:space="preserve">thay vì tuyên bố nhận dạng nhân quả (Antonakis et al., 2010; Shaver, 2020).</w:t>
      </w:r>
    </w:p>
    <w:bookmarkEnd w:id="49"/>
    <w:bookmarkStart w:id="50" w:name="kiểm-định-vững"/>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0"/>
    <w:bookmarkEnd w:id="51"/>
    <w:bookmarkStart w:id="57" w:name="thảo-luận"/>
    <w:p>
      <w:pPr>
        <w:pStyle w:val="Heading2"/>
      </w:pPr>
      <w:r>
        <w:t xml:space="preserve">5. Thảo luận</w:t>
      </w:r>
    </w:p>
    <w:bookmarkStart w:id="52" w:name="ổn-định-theo-thời-gian-của-ngưỡng-ip"/>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hoạt động như một</w:t>
      </w:r>
      <w:r>
        <w:t xml:space="preserve"> </w:t>
      </w:r>
      <w:r>
        <w:rPr>
          <w:bCs/>
          <w:b/>
        </w:rPr>
        <w:t xml:space="preserve">hằng số sinh tồn (survival constant)</w:t>
      </w:r>
      <w:r>
        <w:t xml:space="preserve">: nó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Cơ chế nằm dưới độ bền này là sự</w:t>
      </w:r>
      <w:r>
        <w:t xml:space="preserve"> </w:t>
      </w:r>
      <w:r>
        <w:rPr>
          <w:bCs/>
          <w:b/>
        </w:rPr>
        <w:t xml:space="preserve">quá nhúng cấu trúc (structural over-embeddedness)</w:t>
      </w:r>
      <w:r>
        <w:t xml:space="preserve"> </w:t>
      </w:r>
      <w:r>
        <w:t xml:space="preserve">kết hợp với</w:t>
      </w:r>
      <w:r>
        <w:t xml:space="preserve"> </w:t>
      </w:r>
      <w:r>
        <w:rPr>
          <w:bCs/>
          <w:b/>
        </w:rPr>
        <w:t xml:space="preserve">ràng buộc vốn lưu động (working-capital constraints)</w:t>
      </w:r>
      <w:r>
        <w:t xml:space="preserve">: khi vượt ngưỡng ~48%, doanh nghiệp lệ thuộc quá mức vào khách hàng và chuỗi giá trị quốc tế, đồng thời chịu áp lực quay vòng vốn lưu động nghiêm trọng từ các điều khoản thanh toán xuyên biên giới (thời gian thu hồi nợ kéo dài, chi phí logistics quốc tế, rủi ro tỷ giá — Manova, 2013), khiến năng suất xói mòn bất kể môi trường vĩ mô. Hàm ý cho nhà quản lý là phân bổ hơn khoảng một nửa doanh thu cho xuất khẩu trực tiếp có xu hướng xói mòn năng suất bất kể thập kỷ hay môi trường bên ngoài.</w:t>
      </w:r>
    </w:p>
    <w:bookmarkEnd w:id="52"/>
    <w:bookmarkStart w:id="53" w:name="X0d938a0dd12f58baa083573977fa774bc598f04"/>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w:t>
      </w:r>
      <w:r>
        <w:t xml:space="preserve"> </w:t>
      </w:r>
      <w:r>
        <w:t xml:space="preserve">“</w:t>
      </w:r>
      <w:r>
        <w:t xml:space="preserve">dịch chuyển mức nền</w:t>
      </w:r>
      <w:r>
        <w:t xml:space="preserve">”</w:t>
      </w:r>
      <w:r>
        <w:t xml:space="preserve">: năng lực nâng hiệu quả ở mọi mức cường độ xuất khẩu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3"/>
    <w:bookmarkStart w:id="54" w:name="áp-dụng-số-như-kiểm-soát-nền"/>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4"/>
    <w:bookmarkStart w:id="55" w:name="hạn-chế"/>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5"/>
    <w:bookmarkStart w:id="56" w:name="nghiên-cứu-tương-lai"/>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6"/>
    <w:bookmarkEnd w:id="57"/>
    <w:bookmarkStart w:id="58" w:name="kết-luận"/>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58"/>
    <w:bookmarkStart w:id="59" w:name="lời-cảm-ơn"/>
    <w:p>
      <w:pPr>
        <w:pStyle w:val="Heading2"/>
      </w:pPr>
      <w:r>
        <w:t xml:space="preserve">Lời cảm ơn</w:t>
      </w:r>
    </w:p>
    <w:p>
      <w:pPr>
        <w:pStyle w:val="FirstParagraph"/>
      </w:pPr>
      <w:r>
        <w:t xml:space="preserve">Nguồn: Khảo sát Doanh nghiệp Ngân hàng Thế giới, www.enterprisesurveys.org.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59"/>
    <w:bookmarkStart w:id="60"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 https://www.enterprisesurveys.org. Mã xây dựng biến và tập dữ liệu đã xử lý có sẵn từ tác giả liên hệ theo yêu cầu hợp lý.</w:t>
      </w:r>
    </w:p>
    <w:bookmarkEnd w:id="60"/>
    <w:bookmarkStart w:id="61"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các nghiên cứu, phân tích dữ liệu hay tạo nội dung bản thảo.</w:t>
      </w:r>
    </w:p>
    <w:p>
      <w:r>
        <w:pict>
          <v:rect style="width:0;height:1.5pt" o:hralign="center" o:hrstd="t" o:hr="t"/>
        </w:pict>
      </w:r>
    </w:p>
    <w:bookmarkEnd w:id="61"/>
    <w:bookmarkStart w:id="6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2026-05-26T13:35:05Z</dcterms:created>
  <dcterms:modified xsi:type="dcterms:W3CDTF">2026-05-26T13:35:05Z</dcterms:modified>
</cp:coreProperties>
</file>

<file path=docProps/custom.xml><?xml version="1.0" encoding="utf-8"?>
<Properties xmlns="http://schemas.openxmlformats.org/officeDocument/2006/custom-properties" xmlns:vt="http://schemas.openxmlformats.org/officeDocument/2006/docPropsVTypes"/>
</file>