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Journal of Asian Business and Economic Studies (JABES), Emerald Publishing on behalf of University of Economics Ho Chi Minh City (UEH)</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13,000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a</w:t>
      </w:r>
      <w:r>
        <w:t xml:space="preserve"> </w:t>
      </w:r>
      <w:r>
        <w:rPr>
          <w:iCs/>
          <w:i/>
        </w:rPr>
        <w:t xml:space="preserve">digital saturation</w:t>
      </w:r>
      <w:r>
        <w:t xml:space="preserve"> </w:t>
      </w:r>
      <w:r>
        <w:t xml:space="preserve">condition in which the cross-sectional discriminatory power of foundational digital adoption is attenuated relative to less digitally mature institutional settings. The mechanism, that widely diffused technologies become hygiene factors and lose their cross-firm discriminatory power as cross-firm variance contracts toward a saturated ceiling, is well established in the technology-adoption diffusion literature (Rogers 1962; Bharadwaj et al. 2013). The contribution of this study is not to name this condition but to document its specific empirical signature in WBES Singapore 2023: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as an analytically ideal stress test rather than a convenient empirical setting: an environment in which the conditional logic of foundational digital adoption is most legible because domestic saturation removes the uniform-premium effect and leaves only the export-contingent signal.</w:t>
      </w:r>
      <w:r>
        <w:t xml:space="preserve"> </w:t>
      </w:r>
      <w:r>
        <w:t xml:space="preserve">A second motivation concerns construct clarity. In digitally advanced settings, firms may differ both in deeper technological capability rooted in learning, innovation, and absorptive capacity, and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Gap, contribution, and roadmap</w:t>
      </w:r>
    </w:p>
    <w:p>
      <w:pPr>
        <w:pStyle w:val="BodyText"/>
      </w:pPr>
      <w:r>
        <w:t xml:space="preserve">Three gaps motivate this study. First,</w:t>
      </w:r>
      <w:r>
        <w:t xml:space="preserve"> </w:t>
      </w:r>
      <w:r>
        <w:rPr>
          <w:bCs/>
          <w:b/>
        </w:rPr>
        <w:t xml:space="preserve">construct bundling</w:t>
      </w:r>
      <w:r>
        <w:t xml:space="preserve">: prior research has often folded digitalization-related firm attributes into broad umbrella constructs that blur firm-internal technological capability from more basic forms of digital adoption — the two domains imply different mechanisms of advantage. Second,</w:t>
      </w:r>
      <w:r>
        <w:t xml:space="preserve"> </w:t>
      </w:r>
      <w:r>
        <w:rPr>
          <w:bCs/>
          <w:b/>
        </w:rPr>
        <w:t xml:space="preserve">empirical evidence</w:t>
      </w:r>
      <w:r>
        <w:t xml:space="preserve">: firm-level evidence on how basic digital adoption relates to export intensity within a single digitally advanced institutional environment remains thin; whether foundational tools matter uniformly across firms or only when cross-border coordination demands intensify is unsettled. Focusing on Tier 1–2 adoption (the most widely diffused and comparable digital layer) is a deliberate design choice: if even these foundational tools exhibit export-contingent productivity associations, higher-tier technologies (automation, integrated ERP, AI-enabled systems) should produce stronger differentiation, making this the most conservative and replicable test of the conditional digital-adoption hypothesis. Third,</w:t>
      </w:r>
      <w:r>
        <w:t xml:space="preserve"> </w:t>
      </w:r>
      <w:r>
        <w:rPr>
          <w:bCs/>
          <w:b/>
        </w:rPr>
        <w:t xml:space="preserve">interpretation in mature digital settings</w:t>
      </w:r>
      <w:r>
        <w:t xml:space="preserve">: how inverted-U patterns should be read in a digitally advanced economy where the right-side decline may not be cleanly identifiable within the actual export-intensity range remains under-specified.</w:t>
      </w:r>
    </w:p>
    <w:p>
      <w:pPr>
        <w:pStyle w:val="BodyText"/>
      </w:pPr>
      <w:r>
        <w:t xml:space="preserve">The contribution is one primary empirical signature plus two supporting clarifications. The</w:t>
      </w:r>
      <w:r>
        <w:t xml:space="preserve"> </w:t>
      </w:r>
      <w:r>
        <w:rPr>
          <w:bCs/>
          <w:b/>
        </w:rPr>
        <w:t xml:space="preserve">primary signature</w:t>
      </w:r>
      <w:r>
        <w:t xml:space="preserve"> </w:t>
      </w:r>
      <w:r>
        <w:t xml:space="preserve">documents that foundational DAI functions as a</w:t>
      </w:r>
      <w:r>
        <w:t xml:space="preserve"> </w:t>
      </w:r>
      <w:r>
        <w:rPr>
          <w:iCs/>
          <w:i/>
        </w:rPr>
        <w:t xml:space="preserve">conditional scaling resource</w:t>
      </w:r>
      <w:r>
        <w:t xml:space="preserve"> </w:t>
      </w:r>
      <w:r>
        <w:t xml:space="preserve">rather than a uniform productivity premium in a digitally advanced economy: Tier 1–2 productivity association is weak across most of the export-intensity distribution and becomes positive only in the high-export tail where cross-border coordination demands are densest. The evidence (H3: positive quadratic DAI × FSTS² interaction, β = +3.119, p = .005) is the most distinctive finding and the one least anticipated by prior literature. The</w:t>
      </w:r>
      <w:r>
        <w:t xml:space="preserve"> </w:t>
      </w:r>
      <w:r>
        <w:rPr>
          <w:bCs/>
          <w:b/>
        </w:rPr>
        <w:t xml:space="preserve">first supporting contribution</w:t>
      </w:r>
      <w:r>
        <w:t xml:space="preserve"> </w:t>
      </w:r>
      <w:r>
        <w:t xml:space="preserve">qualifies the nonlinear I–P literature: within the observed export-intensity range, the fitted quadratic is more defensibly read as predominantly positive with mild curvature than as a formally established inverted-U; the implied TP ≈ 82 % lies in a sparsely populated upper tail and the Lind–Mehlum test does not formally confirm a right-side decline at conventional thresholds. In a digitally mature economy where Tier 1–2 tools are widely diffused, this is an informative positive null consistent with the saturation hypothesis. The</w:t>
      </w:r>
      <w:r>
        <w:t xml:space="preserve"> </w:t>
      </w:r>
      <w:r>
        <w:rPr>
          <w:bCs/>
          <w:b/>
        </w:rPr>
        <w:t xml:space="preserve">second supporting contribution</w:t>
      </w:r>
      <w:r>
        <w:t xml:space="preserve"> </w:t>
      </w:r>
      <w:r>
        <w:t xml:space="preserve">clarifies construct boundaries: TCI shows a more stable direct productivity association, DAI shows a contingent export-intensity-dependent pattern. The §4.5 R1 indicator-sensitivity diagnostic further clarifies that the Tier-1+2 composition of DAI (website presence + two-way electronic-payment intensity) is what generates discriminatory power; a Tier-1-only restriction substantially weakens the quadratic interaction, so the empirical legibility of the conditional-scaling mechanism depends on institutional availability of Tier-2 transaction-enabling infrastructure (see §5.1 for the construct-boundary discussion).</w:t>
      </w:r>
    </w:p>
    <w:p>
      <w:pPr>
        <w:pStyle w:val="BodyText"/>
      </w:pPr>
      <w:r>
        <w:t xml:space="preserve">Section 2 develops the theoretical framework and hypotheses; §3 describes data and methods; §4 reports results; §5 discusses theoretical and managerial implications; §6 concludes; §7 covers limitations and future research.</w:t>
      </w:r>
    </w:p>
    <w:bookmarkEnd w:id="20"/>
    <w:bookmarkStart w:id="28" w:name="theory-and-hypotheses"/>
    <w:p>
      <w:pPr>
        <w:pStyle w:val="Heading2"/>
      </w:pPr>
      <w:r>
        <w:t xml:space="preserve">2 Theory and Hypotheses</w:t>
      </w:r>
    </w:p>
    <w:bookmarkStart w:id="21" w:name="X001c1553335b0468ad48060ef103d7d22aed657"/>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both on theory and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The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This study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m:oMath>
        <m:r>
          <m:rPr>
            <m:nor/>
            <m:sty m:val="p"/>
          </m:rPr>
          <m:t>FSTS</m:t>
        </m:r>
        <m:r>
          <m:rPr>
            <m:sty m:val="p"/>
          </m:rPr>
          <m:t>×</m:t>
        </m:r>
        <m:r>
          <m:rPr>
            <m:nor/>
            <m:sty m:val="p"/>
          </m:rPr>
          <m:t>DAI</m:t>
        </m:r>
      </m:oMath>
      <w:r>
        <w:t xml:space="preserve"> </w:t>
      </w:r>
      <w:r>
        <w:t xml:space="preserve">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w:t>
      </w:r>
      <w:r>
        <w:t xml:space="preserve"> </w:t>
      </w:r>
      <m:oMath>
        <m:r>
          <m:rPr>
            <m:nor/>
            <m:sty m:val="p"/>
          </m:rPr>
          <m:t>FSTS</m:t>
        </m:r>
        <m:r>
          <m:rPr>
            <m:sty m:val="p"/>
          </m:rPr>
          <m:t>×</m:t>
        </m:r>
        <m:r>
          <m:rPr>
            <m:nor/>
            <m:sty m:val="p"/>
          </m:rPr>
          <m:t>DAI</m:t>
        </m:r>
      </m:oMath>
      <w:r>
        <w:t xml:space="preserve"> </w:t>
      </w:r>
      <w:r>
        <w:t xml:space="preserve">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(beyond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21"/>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334000" cy="368873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334000" cy="368873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w:t>
      </w:r>
      <w:r>
        <w:t xml:space="preserve"> </w:t>
      </w:r>
      <m:oMath>
        <m:sSup>
          <m:e>
            <m:r>
              <m:rPr>
                <m:nor/>
                <m:sty m:val="p"/>
              </m:rPr>
              <m:t>FSTS</m:t>
            </m:r>
          </m:e>
          <m:sup>
            <m:r>
              <m:t>2</m:t>
            </m:r>
          </m:sup>
        </m:sSup>
      </m:oMath>
      <w:r>
        <w:t xml:space="preserve">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=.303). H1-TCI: technological capability (</w:t>
      </w:r>
      <m:oMath>
        <m:sSub>
          <m:e>
            <m:r>
              <m:rPr>
                <m:nor/>
                <m:sty m:val="p"/>
              </m:rPr>
              <m:t>TCI</m:t>
            </m:r>
          </m:e>
          <m:sub>
            <m:r>
              <m:t>z</m:t>
            </m:r>
          </m:sub>
        </m:sSub>
      </m:oMath>
      <w:r>
        <w:t xml:space="preserve">,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w:t>
      </w:r>
      <w:r>
        <w:t xml:space="preserve"> </w:t>
      </w:r>
      <m:oMath>
        <m:r>
          <m:rPr>
            <m:sty m:val="p"/>
          </m:rPr>
          <m:t>≈</m:t>
        </m:r>
      </m:oMath>
      <w:r>
        <w:t xml:space="preserve"> </w:t>
      </w:r>
      <w:r>
        <w:t xml:space="preserve">84; power</w:t>
      </w:r>
      <w:r>
        <w:t xml:space="preserve"> </w:t>
      </w:r>
      <m:oMath>
        <m:r>
          <m:rPr>
            <m:sty m:val="p"/>
          </m:rPr>
          <m:t>≈</m:t>
        </m:r>
      </m:oMath>
      <w:r>
        <w:t xml:space="preserve"> </w:t>
      </w:r>
      <w:r>
        <w:t xml:space="preserve">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This study uses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the WBES Vietnam 2009/2015 instrument analyzed in a companion paper by the present author group, where Tier-2 transaction items k33/k38 were not yet collected). The key result is that the</w:t>
      </w:r>
      <w:r>
        <w:t xml:space="preserve"> </w:t>
      </w:r>
      <m:oMath>
        <m:sSup>
          <m:e>
            <m:r>
              <m:rPr>
                <m:nor/>
                <m:sty m:val="p"/>
              </m:rPr>
              <m:t>FSTS</m:t>
            </m:r>
          </m:e>
          <m:sup>
            <m:r>
              <m:t>2</m:t>
            </m:r>
          </m:sup>
        </m:sSup>
        <m:r>
          <m:rPr>
            <m:sty m:val="p"/>
          </m:rPr>
          <m:t>×</m:t>
        </m:r>
        <m:r>
          <m:rPr>
            <m:nor/>
            <m:sty m:val="p"/>
          </m:rPr>
          <m:t>DAI</m:t>
        </m:r>
      </m:oMath>
      <w:r>
        <w:t xml:space="preserve"> </w:t>
      </w:r>
      <w:r>
        <w:t xml:space="preserve">quadratic interaction coefficient attenuates substantially, from</w:t>
      </w:r>
      <w:r>
        <w:t xml:space="preserve"> </w:t>
      </w:r>
      <m:oMath>
        <m:r>
          <m:t>β</m:t>
        </m:r>
      </m:oMath>
      <w:r>
        <w:t xml:space="preserve"> </w:t>
      </w:r>
      <w:r>
        <w:t xml:space="preserve">= +3.119 (p =.005) in the Tier-1+2 specification to a smaller and statistically weaker estimate, while the Tier-1+2 full model’s adjusted</w:t>
      </w:r>
      <w:r>
        <w:t xml:space="preserve"> </w:t>
      </w:r>
      <m:oMath>
        <m:sSup>
          <m:e>
            <m:r>
              <m:t>R</m:t>
            </m:r>
          </m:e>
          <m:sup>
            <m:r>
              <m:t>2</m:t>
            </m:r>
          </m:sup>
        </m:sSup>
      </m:oMath>
      <w:r>
        <w:t xml:space="preserve"> </w:t>
      </w:r>
      <w:r>
        <w:t xml:space="preserve">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estimation-strategy"/>
    <w:p>
      <w:pPr>
        <w:pStyle w:val="Heading3"/>
      </w:pPr>
      <w:r>
        <w:t xml:space="preserve">3.3 Estimation strategy</w:t>
      </w:r>
    </w:p>
    <w:p>
      <w:pPr>
        <w:pStyle w:val="FirstParagraph"/>
      </w:pPr>
      <w:r>
        <w:t xml:space="preserve">The empirical analysis uses OLS with broad sector fixed effects and HC1 heteroskedasticity-robust standard errors throughout (MacKinnon &amp; White, 1985). Models are estimated sequentially as a hierarchical stack (M0–M8) in Table 2, from controls-only to full moderation. Given the strong concentration of firms at zero exports, the baseline quadratic specification is interpreted as a descriptive full-sample benchmark rather than a standalone structural test of the conventional inverted-U; later specifications focus on whether TCI and DAI exhibit distinct direct and contingent associations, with interpretation supplemented by extensive-intensive reasoning and support-aware diagnostics.</w:t>
      </w:r>
    </w:p>
    <w:p>
      <w:pPr>
        <w:pStyle w:val="BodyText"/>
      </w:pPr>
      <w:r>
        <w:t xml:space="preserve">The estimation sequence is:</w:t>
      </w:r>
    </w:p>
    <w:p>
      <w:pPr>
        <w:pStyle w:val="BodyText"/>
      </w:pPr>
      <w:r>
        <w:rPr>
          <w:bCs/>
          <w:b/>
        </w:rPr>
        <w:t xml:space="preserve">M0 (controls only):</w:t>
      </w:r>
      <w:r>
        <w:t xml:space="preserve"> </w:t>
      </w:r>
      <w:r>
        <w:t xml:space="preserve">ln(LP)ᵢ = α + γ·Xᵢ + δ_s + εᵢ</w:t>
      </w:r>
      <w:r>
        <w:t xml:space="preserve"> </w:t>
      </w:r>
      <w:r>
        <w:rPr>
          <w:bCs/>
          <w:b/>
        </w:rPr>
        <w:t xml:space="preserve">M1 (linear):</w:t>
      </w:r>
      <w:r>
        <w:t xml:space="preserve"> </w:t>
      </w:r>
      <w:r>
        <w:t xml:space="preserve">+ β₁ FSTSc</w:t>
      </w:r>
      <w:r>
        <w:t xml:space="preserve"> </w:t>
      </w:r>
      <w:r>
        <w:rPr>
          <w:bCs/>
          <w:b/>
        </w:rPr>
        <w:t xml:space="preserve">M2 (quadratic, H1):</w:t>
      </w:r>
      <w:r>
        <w:t xml:space="preserve"> </w:t>
      </w:r>
      <w:r>
        <w:t xml:space="preserve">+ β₁ FSTSc + β₂ FSTSc²; TP* = -β₁/(2β₂) + mean(FSTS); LM p = .303</w:t>
      </w:r>
      <w:r>
        <w:t xml:space="preserve"> </w:t>
      </w:r>
      <w:r>
        <w:rPr>
          <w:bCs/>
          <w:b/>
        </w:rPr>
        <w:t xml:space="preserve">M3 (TCI direct):</w:t>
      </w:r>
      <w:r>
        <w:t xml:space="preserve"> </w:t>
      </w:r>
      <w:r>
        <w:t xml:space="preserve">+ β₃ TCI_z</w:t>
      </w:r>
      <w:r>
        <w:t xml:space="preserve"> </w:t>
      </w:r>
      <w:r>
        <w:rPr>
          <w:bCs/>
          <w:b/>
        </w:rPr>
        <w:t xml:space="preserve">M4 (TCI moderation, supplementary):</w:t>
      </w:r>
      <w:r>
        <w:t xml:space="preserve"> </w:t>
      </w:r>
      <w:r>
        <w:t xml:space="preserve">+ β₃ TCI_z + β₄(FSTSc × TCI_z) + β₅(FSTSc² × TCI_z)</w:t>
      </w:r>
      <w:r>
        <w:t xml:space="preserve"> </w:t>
      </w:r>
      <w:r>
        <w:rPr>
          <w:bCs/>
          <w:b/>
        </w:rPr>
        <w:t xml:space="preserve">M5 (DAI direct, H2):</w:t>
      </w:r>
      <w:r>
        <w:t xml:space="preserve"> </w:t>
      </w:r>
      <w:r>
        <w:t xml:space="preserve">+ β₃ DAI_z</w:t>
      </w:r>
      <w:r>
        <w:t xml:space="preserve"> </w:t>
      </w:r>
      <w:r>
        <w:rPr>
          <w:bCs/>
          <w:b/>
        </w:rPr>
        <w:t xml:space="preserve">M6 (dual direct):</w:t>
      </w:r>
      <w:r>
        <w:t xml:space="preserve"> </w:t>
      </w:r>
      <w:r>
        <w:t xml:space="preserve">+ β₃ TCI_z + β₄ DAI_z</w:t>
      </w:r>
      <w:r>
        <w:t xml:space="preserve"> </w:t>
      </w:r>
      <w:r>
        <w:rPr>
          <w:bCs/>
          <w:b/>
        </w:rPr>
        <w:t xml:space="preserve">M7 (DAI linear interaction):</w:t>
      </w:r>
      <w:r>
        <w:t xml:space="preserve"> </w:t>
      </w:r>
      <w:r>
        <w:t xml:space="preserve">+ β₅(FSTSc × DAI_z)</w:t>
      </w:r>
      <w:r>
        <w:t xml:space="preserve"> </w:t>
      </w:r>
      <w:r>
        <w:rPr>
          <w:bCs/>
          <w:b/>
        </w:rPr>
        <w:t xml:space="preserve">M8 (full moderation, H3 primary):</w:t>
      </w:r>
      <w:r>
        <w:t xml:space="preserve"> </w:t>
      </w:r>
      <w:r>
        <w:t xml:space="preserve">+ β₅(FSTSc × DAI_z) + β₆(FSTSc² × DAI_z); H3 requires β₆ &gt; 0 at p &lt; .01; confirmed at β₆ = +3.119, p = .005</w:t>
      </w:r>
    </w:p>
    <w:p>
      <w:pPr>
        <w:pStyle w:val="BodyText"/>
      </w:pPr>
      <w:r>
        <w:t xml:space="preserve">where Xᵢ = {ln(Emp), FirmAge, ForeignOwn} and δ_s = broad sector FE. Lind–Mehlum (2010) is applied to test the curvilinear shape; the DAI interaction block is jointly tested with an F-test and effect-size with Cohen’s f² (Aguinis et al. 2005; Cohen 1988). A supplementary Heckman inverse-Mills-ratio specification is described in §3.4 (iv).</w:t>
      </w:r>
    </w:p>
    <w:p>
      <w:pPr>
        <w:pStyle w:val="BodyText"/>
      </w:pPr>
      <w:r>
        <w:rPr>
          <w:bCs/>
          <w:b/>
        </w:rPr>
        <w:t xml:space="preserve">Identification choice.</w:t>
      </w:r>
      <w:r>
        <w:t xml:space="preserve"> </w:t>
      </w:r>
      <w:r>
        <w:t xml:space="preserve">Because the single-wave WBES Singapore 2023 design offers no instrument satisfying the exclusion restriction for either export intensity or digital adoption, OLS with HC1 robust SE is adopted as the primary specification following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IMR sensitivity diagnostic is reported in §3.4 (iv) for transparency but is not treated as the primary specification. Inferential claims are bounded to within-context associations rather than causal effects.</w:t>
      </w:r>
    </w:p>
    <w:bookmarkEnd w:id="26"/>
    <w:bookmarkStart w:id="27" w:name="identification-boundary-conditions"/>
    <w:p>
      <w:pPr>
        <w:pStyle w:val="Heading3"/>
      </w:pPr>
      <w:r>
        <w:t xml:space="preserve">3.4 Identification boundary conditions</w:t>
      </w:r>
    </w:p>
    <w:p>
      <w:pPr>
        <w:pStyle w:val="FirstParagraph"/>
      </w:pPr>
      <w:r>
        <w:t xml:space="preserve">Four boundary conditions consolidate the methodological constraints on inferential reach so that §4 can be read without recurrent caveats:</w:t>
      </w:r>
    </w:p>
    <w:p>
      <w:pPr>
        <w:pStyle w:val="BodyText"/>
      </w:pPr>
      <w:r>
        <w:rPr>
          <w:iCs/>
          <w:i/>
        </w:rPr>
        <w:t xml:space="preserve">(i) Sample-support and upper-tail thinness.</w:t>
      </w:r>
      <w:r>
        <w:t xml:space="preserve"> </w:t>
      </w:r>
      <w:r>
        <w:t xml:space="preserve">The analytic sample (N = 623; 617 with all controls) is representative of Singapore’s SME sector under the WBES sampling frame. 82 % of firms report zero exports, only 18 % report any positive export intensity, and only 3 % exceed 50 % FSTS. The quadratic FSTS curvature is identified primarily through the participation contrast between FSTS = 0 and FSTS &gt; 0, with limited upper-tail support. The fitted TP ≈ 82 % falls in a sparsely populated region; the 95 % bootstrap CI is wide ([53 %, 253 %]) though the inverted-U shape is recovered in 96.3 % of resamples. The conventional inverted-U interpretation is therefore not formally identified within the supported data range; §4 results are interpreted under this support-aware framing.</w:t>
      </w:r>
    </w:p>
    <w:p>
      <w:pPr>
        <w:pStyle w:val="BodyText"/>
      </w:pPr>
      <w:r>
        <w:rPr>
          <w:iCs/>
          <w:i/>
        </w:rPr>
        <w:t xml:space="preserve">(ii) Exporters-only subsample and power-bounded inference.</w:t>
      </w:r>
      <w:r>
        <w:t xml:space="preserve"> </w:t>
      </w:r>
      <w:r>
        <w:t xml:space="preserve">The exporters-only subsample (N = 84) is the natural setting in which to read the intensity-margin coordination-cost mechanism but is substantially underpowered for the small effect-size moderation block (f² ≈ 0.018). At α = .05, achieving 80 % power requires N ≳ 430; power at N = 84 is ≈ 16 %. The intensity-margin DAI mechanism cannot be confirmed in the exporter-only subsample, the analysis is underpowered to detect interaction effects of β &lt; 1.5 SD. Null DAI moderation results in the exporters-only specification therefore should not be interpreted as evidence against the conditional-scaling mechanism. Conversely, the positive R5 exporters-only joint F-test (F = 6.32, p = .003, β = +2.821) is corroborating evidence consistent with the full-sample amplification mechanism rather than a stand-alone identifying test; at 16 % power, statistically significant findings are at elevated risk of Type M magnitude inflation (Gelman &amp; Carlin, 2014). Power requirements for interaction testing follow Leon (2004).</w:t>
      </w:r>
    </w:p>
    <w:p>
      <w:pPr>
        <w:pStyle w:val="BodyText"/>
      </w:pPr>
      <w:r>
        <w:rPr>
          <w:iCs/>
          <w:i/>
        </w:rPr>
        <w:t xml:space="preserve">(iii) Lind–Mehlum equivalence framing.</w:t>
      </w:r>
      <w:r>
        <w:t xml:space="preserve"> </w:t>
      </w:r>
      <w:r>
        <w:t xml:space="preserve">The LM (2010) test does not formally reject monotonicity (p = .303), but the appropriate reading is not</w:t>
      </w:r>
      <w:r>
        <w:t xml:space="preserve"> </w:t>
      </w:r>
      <w:r>
        <w:t xml:space="preserve">“</w:t>
      </w:r>
      <w:r>
        <w:t xml:space="preserve">the inverted-U fails</w:t>
      </w:r>
      <w:r>
        <w:t xml:space="preserve">”</w:t>
      </w:r>
      <w:r>
        <w:t xml:space="preserve">, because the test is conditioned on dense support around the turning point that §3.4 (i) establishes is absent. Under the §1.1 saturation hypothesis the non-rejection is a</w:t>
      </w:r>
      <w:r>
        <w:t xml:space="preserve"> </w:t>
      </w:r>
      <w:r>
        <w:rPr>
          <w:iCs/>
          <w:i/>
        </w:rPr>
        <w:t xml:space="preserve">theoretically informative absence-of-decline</w:t>
      </w:r>
      <w:r>
        <w:t xml:space="preserve">: if foundational Tier-2 infrastructure is mature enough to absorb the coordination-cost saturation that produces the conventional right-side decline, the appropriate empirical signature is precisely the non-rejection of monotonicity in the upper tail. LM p = .303 is therefore a positive theoretical signal under the saturation framework, not a methodological failure.</w:t>
      </w:r>
    </w:p>
    <w:p>
      <w:pPr>
        <w:pStyle w:val="BodyText"/>
      </w:pPr>
      <w:r>
        <w:rPr>
          <w:iCs/>
          <w:i/>
        </w:rPr>
        <w:t xml:space="preserve">(iv) Heckman selection sensitivity.</w:t>
      </w:r>
      <w:r>
        <w:t xml:space="preserve"> </w:t>
      </w:r>
      <w:r>
        <w:t xml:space="preserve">A reduced-form first-stage probit of export participation on age, log size, sector FE, and WBES sampling stratum yields an inverse Mills ratio coefficient of β = 0.264 (SE = 0.138, t = 1.92, p = .055), just above the .05 threshold, indicating mild selection at the extensive margin. The key DAI × FSTS² interaction (H3 amplification) and the TCI coefficient are not materially altered (|Δ| &lt; 0.02 in each case), confirming H3 is robust to the selection adjustment. Consistent with Wolfolds and Siegel (2019), OLS is reported as primary with the caveat that selection on unobservables cannot be fully excluded from a single-wave cross-section.</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&lt;.10, p &lt;.05, p &lt;.01.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t>
      </w:r>
      <m:oMath>
        <m:r>
          <m:t>β</m:t>
        </m:r>
      </m:oMath>
      <w:r>
        <w:t xml:space="preserve"> </w:t>
      </w:r>
      <w:r>
        <w:t xml:space="preserve">= +2.652, SE = 0.691, p &lt;.001), whereas the squared term is negative (</w:t>
      </w:r>
      <m:oMath>
        <m:r>
          <m:t>β</m:t>
        </m:r>
      </m:oMath>
      <w:r>
        <w:t xml:space="preserve"> </w:t>
      </w:r>
      <w:r>
        <w:t xml:space="preserve">= −1.705, SE = 0.931, p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w:t>
      </w:r>
      <m:oMath>
        <m:r>
          <m:t>β</m:t>
        </m:r>
      </m:oMath>
      <w:r>
        <w:t xml:space="preserve"> </w:t>
      </w:r>
      <w:r>
        <w:t xml:space="preserve">= 0.168, SE = 0.040, p &lt;.001).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M4-TCI), the direct TCI coefficient remains positive and significant (</w:t>
      </w:r>
      <m:oMath>
        <m:r>
          <m:t>β</m:t>
        </m:r>
      </m:oMath>
      <w:r>
        <w:t xml:space="preserve"> </w:t>
      </w:r>
      <w:r>
        <w:t xml:space="preserve">= 0.188, p &lt;.001),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w:t>
      </w:r>
      <m:oMath>
        <m:r>
          <m:t>β</m:t>
        </m:r>
      </m:oMath>
      <w:r>
        <w:t xml:space="preserve"> </w:t>
      </w:r>
      <w:r>
        <w:t xml:space="preserve">= 0.104, SE = 0.038, p =.007). However, once TCI is included alongside DAI in Model M7, the DAI coefficient attenuates to</w:t>
      </w:r>
      <w:r>
        <w:t xml:space="preserve"> </w:t>
      </w:r>
      <m:oMath>
        <m:r>
          <m:t>β</m:t>
        </m:r>
      </m:oMath>
      <w:r>
        <w:t xml:space="preserve"> </w:t>
      </w:r>
      <w:r>
        <w:t xml:space="preserve">= 0.077 and remains statistically significant but attenuated (p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+2.563***</w:t>
            </w:r>
          </w:p>
        </w:tc>
        <w:tc>
          <w:tcPr/>
          <w:p>
            <w:pPr>
              <w:pStyle w:val="Compact"/>
              <w:jc w:val="left"/>
            </w:pPr>
            <w:r>
              <w:t xml:space="preserve">+2.491***</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+2.492**</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=.705), the linear interaction with FSTS is negative but does not reach conventional significance (</w:t>
      </w:r>
      <m:oMath>
        <m:r>
          <m:t>β</m:t>
        </m:r>
      </m:oMath>
      <w:r>
        <w:t xml:space="preserve"> </w:t>
      </w:r>
      <w:r>
        <w:t xml:space="preserve">= −1.177, p =.083), and the quadratic interaction term is positive and statistically significant (</w:t>
      </w:r>
      <m:oMath>
        <m:r>
          <m:t>β</m:t>
        </m:r>
      </m:oMath>
      <w:r>
        <w:t xml:space="preserve"> </w:t>
      </w:r>
      <w:r>
        <w:t xml:space="preserve">= 3.119, SE = 1.124, p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334000" cy="3440011"/>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334000" cy="344001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334000" cy="3534905"/>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334000" cy="353490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=.011] in the canonical specification to 1.88 [p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statistically significant (F = 6.32, p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w:t>
      </w:r>
      <w:r>
        <w:t xml:space="preserve"> </w:t>
      </w:r>
      <m:oMath>
        <m:r>
          <m:rPr>
            <m:nor/>
            <m:sty m:val="p"/>
          </m:rPr>
          <m:t>DAI</m:t>
        </m:r>
        <m:r>
          <m:rPr>
            <m:sty m:val="p"/>
          </m:rPr>
          <m:t>×</m:t>
        </m:r>
        <m:sSup>
          <m:e>
            <m:r>
              <m:rPr>
                <m:nor/>
                <m:sty m:val="p"/>
              </m:rPr>
              <m:t>FSTS</m:t>
            </m:r>
          </m:e>
          <m:sup>
            <m:r>
              <m:t>2</m:t>
            </m:r>
          </m:sup>
        </m:sSup>
      </m:oMath>
      <w:r>
        <w:t xml:space="preserve"> </w:t>
      </w:r>
      <w:r>
        <w:t xml:space="preserve">interaction altered by |</w:t>
      </w:r>
      <m:oMath>
        <m:r>
          <m:t>Δ</m:t>
        </m:r>
      </m:oMath>
      <w:r>
        <w:t xml:space="preserve">|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p>
    <w:p>
      <w:pPr>
        <w:pStyle w:val="BodyText"/>
      </w:pPr>
      <w:r>
        <w:t xml:space="preserve">Three theoretical implications follow. The TCI result supports a capability-depth reading of firm performance in internationalizing firms: technological capability is positively associated with labour productivity in a way more stable than any moderation pattern identified here, fitting the view that internal capability depth underpins a stronger productivity base from which firms engage international markets. This sits within absorptive-capacity and technological-capability traditions that treat learning, innovation, and technology absorption as firm-internal sources of productivity heterogeneity rather than as identified shifters of I–P curvature.</w:t>
      </w:r>
    </w:p>
    <w:p>
      <w:pPr>
        <w:pStyle w:val="BodyText"/>
      </w:pPr>
      <w:r>
        <w:t xml:space="preserve">The second implication qualifies rather than overturns the conventional nonlinear I–P literature. The Singapore-sample fitted quadratic displays mild curvature, but the right-side decline is not formally identified within the export-intensity range occupied by most firms, and the implied turning point lies in a sparsely populated upper tail. The appropriate reading is that the study provides within-context evidence showing how the conventional I–P logic appears when most firms remain clustered at very low export intensity and the upper tail is thin, not that it establishes a general boundary condition for digitally mature economies.</w:t>
      </w:r>
    </w:p>
    <w:p>
      <w:pPr>
        <w:pStyle w:val="BodyText"/>
      </w:pPr>
      <w:r>
        <w:t xml:space="preserve">The third implication, least anticipated by prior work, is that DAI behaves as a</w:t>
      </w:r>
      <w:r>
        <w:t xml:space="preserve"> </w:t>
      </w:r>
      <w:r>
        <w:rPr>
          <w:iCs/>
          <w:i/>
        </w:rPr>
        <w:t xml:space="preserve">conditional scaling resource</w:t>
      </w:r>
      <w:r>
        <w:t xml:space="preserve"> </w:t>
      </w:r>
      <w:r>
        <w:t xml:space="preserve">rather than a uniform productivity premium. Across much of the observed export-intensity distribution the DAI association is weak or statistically indistinct; it becomes more positive only in the high-export tail, where firms face denser cross-border coordination and transaction demands. From a transaction-cost perspective (Coase, 1937; Williamson, 1985), the conditional pattern is consistent with foundational digital interfaces absorbing coordination costs that scale super-linearly with cross-border transaction volume; below the threshold of high export intensity, the marginal benefit of these systems may not exceed installation and routine-use costs, explaining the absence of a uniform premium. Framed as</w:t>
      </w:r>
      <w:r>
        <w:t xml:space="preserve"> </w:t>
      </w:r>
      <w:r>
        <w:rPr>
          <w:iCs/>
          <w:i/>
        </w:rPr>
        <w:t xml:space="preserve">fixed-transaction-cost amortization</w:t>
      </w:r>
      <w:r>
        <w:t xml:space="preserve">, the sunk cost of advanced digital interfaces is recovered only at extreme export scale; this is one reason the implied turning point lies in the high-FSTS tail (≈ 82 %, a support-constrained estimate) rather than the conventional 30–60 % range. In this role DAI operates as a</w:t>
      </w:r>
      <w:r>
        <w:t xml:space="preserve"> </w:t>
      </w:r>
      <w:r>
        <w:rPr>
          <w:iCs/>
          <w:i/>
        </w:rPr>
        <w:t xml:space="preserve">scale lubricant</w:t>
      </w:r>
      <w:r>
        <w:t xml:space="preserve"> </w:t>
      </w:r>
      <w:r>
        <w:t xml:space="preserve">lowering the marginal coordination cost of each additional unit of cross-border throughput. The absence of a uniform DAI premium is itself informative: in an environment where Tier 1–2 tools are near-universally diffused, these tools cannot generate cross-sectional productivity advantages in domestic operations, consistent with the digital-saturation paradox outlined in §1.</w:t>
      </w:r>
    </w:p>
    <w:p>
      <w:pPr>
        <w:pStyle w:val="BodyText"/>
      </w:pPr>
      <w:r>
        <w:t xml:space="preserve">Read against the substitution / amplification / selection contrast established in §2.3.4, the Singapore evidence is most consistent with the</w:t>
      </w:r>
      <w:r>
        <w:t xml:space="preserve"> </w:t>
      </w:r>
      <w:r>
        <w:rPr>
          <w:bCs/>
          <w:b/>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the positive coefficient on FSTS² × DAI (β = +3.119, p = .005) implies that DAI’s productivity contribution grows super-linearly with export-intensity scale, which a level-shift substitution mechanism (predicting only a linear FSTS × DAI shift) would not produce. The robustness of this quadratic sign across sample restrictions (R1 thin-website, R3 micro-firm exclusion, R4 SMEs only, R5 exporters-only) and indicator-sensitivity diagnostics is inconsistent with a pure selection story; the §4.5 (ii) Heckman sensitivity diagnostic indicates mild but non-eliminating extensive-margin selection. Read together, the evidence supports amplification as the focal mechanism while retaining selection as a bounded residual concern. The contribution is not to establish a universal digitalization mechanism but to clarify that foundational digital adoption and technological capability are analytically distinct and empirically associated with performance in different ways within this setting. Influential conceptual work has proposed frameworks for platform boundaries and internalization in digital settings (Banalieva &amp; Dhanaraj, 2019; Stallkamp &amp; Schotter, 2021); firm-level empirical evidence on how foundational digital adoption interacts with export intensity within a single digitally advanced economy remains limited, and the present findings provide one such data point.</w:t>
      </w:r>
    </w:p>
    <w:p>
      <w:pPr>
        <w:pStyle w:val="BodyText"/>
      </w:pPr>
      <w:r>
        <w:rPr>
          <w:bCs/>
          <w:b/>
        </w:rPr>
        <w:t xml:space="preserve">Tier-1 vs Tier-1+2 construct boundary and institutional transferability.</w:t>
      </w:r>
      <w:r>
        <w:t xml:space="preserve"> </w:t>
      </w:r>
      <w:r>
        <w:t xml:space="preserve">The amplification reading is structurally tied to the</w:t>
      </w:r>
      <w:r>
        <w:t xml:space="preserve"> </w:t>
      </w:r>
      <w:r>
        <w:rPr>
          <w:iCs/>
          <w:i/>
        </w:rPr>
        <w:t xml:space="preserve">Tier-1+2</w:t>
      </w:r>
      <w:r>
        <w:t xml:space="preserve"> </w:t>
      </w:r>
      <w:r>
        <w:t xml:space="preserve">composition of the DAI construct. DAI here combines website presence (Tier-1, c22b) with two-way electronic-payment intensity (Tier-2, k33 + k38); the empirical signal is concentrated in the Tier-2 layer. The §4.5 R1 specification makes this explicit: reducing DAI to the website-only Tier-1 binary weakens the quadratic interaction substantially (β drops from +3.119 to +1.552; joint F retained marginal at 4.01, p = .019), and the item-swap falsification test indicates that the moderation weakens when c22b is moved from DAI to TCI. In advanced-economy settings where Tier-2 transaction-enabling infrastructure (electronic-payment rails, two-way digital interfaces) is widely diffused alongside Tier-1 presence, the Tier-1+2 composite retains discriminatory power across the export-intensity range and the amplification mechanism becomes empirically detectable. In transitional economies where Tier-1 has diffused widely but Tier-2 infrastructure remains institutionally bounded (settings where cross-border electronic-payment rails reached systemic scale only in the late 2010s; World Bank, 2023), the Tier-1-only construct is expected to lose discriminatory power as the population-diffusion ceiling is approached; any contingent association with export intensity is then most plausibly read as construct-tier obsolescence. The Singapore amplification should not be over-extrapolated to settings where Tier-2 infrastructure has not yet matured; conversely, the finding sharpens the theoretical claim that the conditional-scaling mechanism becomes empirically legible precisely when domestic saturation removes the uniform-premium effect and Tier-2 infrastructure is institutionally available. Whether this is a transferable Tier-1+2 threshold effect, and where the operational threshold lies, cannot be established from a single-country cross-section; the Singapore finding identifies a candidate boundary case to be tested in cross-economy comparative designs.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Coase, R. H. (1937). The nature of the firm.</w:t>
      </w:r>
      <w:r>
        <w:t xml:space="preserve"> </w:t>
      </w:r>
      <w:r>
        <w:rPr>
          <w:iCs/>
          <w:i/>
        </w:rPr>
        <w:t xml:space="preserve">Economica, 4</w:t>
      </w:r>
      <w:r>
        <w:t xml:space="preserve">(16), 386–405. https://doi.org/10.1111/j.1468-0335.1937.tb00002.x</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Gelman, A., &amp; Carlin, J. (2014). Beyond power calculations: Assessing Type S (sign) and Type M (magnitude) errors.</w:t>
      </w:r>
      <w:r>
        <w:t xml:space="preserve"> </w:t>
      </w:r>
      <w:r>
        <w:rPr>
          <w:iCs/>
          <w:i/>
        </w:rPr>
        <w:t xml:space="preserve">Perspectives on Psychological Science, 9</w:t>
      </w:r>
      <w:r>
        <w:t xml:space="preserve">(6), 641–651. https://doi.org/10.1177/1745691614551642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Leon, A. C. (2004). Sample-size requirements for comparison of two correlated proportions.</w:t>
      </w:r>
      <w:r>
        <w:t xml:space="preserve"> </w:t>
      </w:r>
      <w:r>
        <w:rPr>
          <w:iCs/>
          <w:i/>
        </w:rPr>
        <w:t xml:space="preserve">Statistics in Medicine, 23</w:t>
      </w:r>
      <w:r>
        <w:t xml:space="preserve">(4), 549–567. https://doi.org/10.1002/sim.1576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Williamson, O. E. (1985).</w:t>
      </w:r>
      <w:r>
        <w:t xml:space="preserve"> </w:t>
      </w:r>
      <w:r>
        <w:rPr>
          <w:iCs/>
          <w:i/>
        </w:rPr>
        <w:t xml:space="preserve">The economic institutions of capitalism: Firms, markets, relational contracting</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t xml:space="preserve">World Bank. (2023).</w:t>
      </w:r>
      <w:r>
        <w:t xml:space="preserve"> </w:t>
      </w:r>
      <w:r>
        <w:rPr>
          <w:iCs/>
          <w:i/>
        </w:rPr>
        <w:t xml:space="preserve">World Development Indicators 2023</w:t>
      </w:r>
      <w:r>
        <w:t xml:space="preserve">. World Bank Group. https://databank.worldbank.org/source/world-development-indicators</w:t>
      </w:r>
    </w:p>
    <w:p>
      <w:pPr>
        <w:pStyle w:val="BodyText"/>
      </w:pPr>
      <w:r>
        <w:t xml:space="preserve">World Bank. (2025a).</w:t>
      </w:r>
      <w:r>
        <w:t xml:space="preserve"> </w:t>
      </w:r>
      <w:r>
        <w:rPr>
          <w:iCs/>
          <w:i/>
        </w:rPr>
        <w:t xml:space="preserve">Digital Public Infrastructure: Foundations for an inclusive digital economy</w:t>
      </w:r>
      <w:r>
        <w:t xml:space="preserve">. World Bank Group. https://www.worldbank.org/en/topic/digitaldevelopment/brief/digital-public-infrastructure</w:t>
      </w:r>
    </w:p>
    <w:p>
      <w:pPr>
        <w:pStyle w:val="BodyText"/>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2026-06-03T03:44:28Z</dcterms:created>
  <dcterms:modified xsi:type="dcterms:W3CDTF">2026-06-03T03:44:28Z</dcterms:modified>
</cp:coreProperties>
</file>

<file path=docProps/custom.xml><?xml version="1.0" encoding="utf-8"?>
<Properties xmlns="http://schemas.openxmlformats.org/officeDocument/2006/custom-properties" xmlns:vt="http://schemas.openxmlformats.org/officeDocument/2006/docPropsVTypes"/>
</file>