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1"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t xml:space="preserve"> </w:t>
      </w:r>
      <w:r>
        <w:rPr>
          <w:bCs/>
          <w:b/>
        </w:rPr>
        <w:t xml:space="preserve">Target journal:</w:t>
      </w:r>
      <w:r>
        <w:t xml:space="preserve"> </w:t>
      </w:r>
      <w:r>
        <w:t xml:space="preserve">Journal of International Business Studies (JIBS)</w:t>
      </w:r>
      <w:r>
        <w:t xml:space="preserve"> </w:t>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Research on the internationalization–performance (I–P) relationship has largely settled whether it is non-linear; the unresolved question is what determines where its optimum falls. This study develops and test a multi-level account in which the inverted-U is universal in form but jointly conditioned by institutional regime and digital capability: regime governs amplitude; digital capability reshapes the curve as a partial substitute for institutional strength. Using harmonised World Bank Enterprise Survey microdata (N = 82,302; 45 economies; 98 country-year waves, 2003–2025) spanning all six Institutional Context Regime Variation (ICRV) groups, the analysis estimates hierarchical OLS models. The I–P relationship is robustly inverted-U with a turning point near 37% export intensity (Lind–Mehlum p &lt;.001). Concavity deepens as institutional quality declines, the over-internationalisation penalty is sharpest in frontier and vulnerable regimes. Digital adoption both raises performance and reshapes the curve; its reshaping potency is significantly stronger in weaker-institution regimes (</w:t>
      </w:r>
      <m:oMath>
        <m:r>
          <m:rPr>
            <m:nor/>
            <m:sty m:val="p"/>
          </m:rPr>
          <m:t>DAI</m:t>
        </m:r>
        <m:r>
          <m:rPr>
            <m:sty m:val="p"/>
          </m:rPr>
          <m:t>×</m:t>
        </m:r>
        <m:r>
          <m:rPr>
            <m:nor/>
            <m:sty m:val="p"/>
          </m:rPr>
          <m:t>ICRV</m:t>
        </m:r>
      </m:oMath>
      <w:r>
        <w:t xml:space="preserve"> </w:t>
      </w:r>
      <w:r>
        <w:t xml:space="preserve">p =.049), consistent with digital-for-institutional substitution. The account resolves the fragmented Asian I–P literature: divergent country findings locate firms at different positions on a single optimum.</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pPr>
        <w:pStyle w:val="BodyText"/>
      </w:pPr>
      <w:r>
        <w:rPr>
          <w:bCs/>
          <w:b/>
        </w:rPr>
        <w:t xml:space="preserve">JEL classification:</w:t>
      </w:r>
      <w:r>
        <w:t xml:space="preserve"> </w:t>
      </w:r>
      <w:r>
        <w:t xml:space="preserve">F23 (multinational firms; international business); O33 (technological change: choices and consequences); O17 (formal and informal sectors; institutional arrangements); D22 (firm behaviour: empirical analysis); L25 (firm performance); O53 (economywide country studies: Asia including Middle East).</w:t>
      </w:r>
    </w:p>
    <w:p>
      <w:pPr>
        <w:pStyle w:val="BodyText"/>
      </w:pPr>
      <w:r>
        <w:rPr>
          <w:bCs/>
          <w:b/>
        </w:rPr>
        <w:t xml:space="preserve">Paper type:</w:t>
      </w:r>
      <w:r>
        <w:t xml:space="preserve"> </w:t>
      </w:r>
      <w:r>
        <w:t xml:space="preserve">Research article (multi-country empirical)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This study pools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The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The contributions of this study are theoretical, not merely empirical. First, this study advancess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this study theorises and tests</w:t>
      </w:r>
      <w:r>
        <w:t xml:space="preserve"> </w:t>
      </w:r>
      <w:r>
        <w:rPr>
          <w:iCs/>
          <w:i/>
        </w:rPr>
        <w:t xml:space="preserve">digital-for-institutional substitution</w:t>
      </w:r>
      <w:r>
        <w:t xml:space="preserve">: the curve-reshaping potency of digital adoption is significantly greater where formal institutions are weaker (</w:t>
      </w:r>
      <m:oMath>
        <m:r>
          <m:rPr>
            <m:nor/>
            <m:sty m:val="p"/>
          </m:rPr>
          <m:t>DAI</m:t>
        </m:r>
        <m:r>
          <m:rPr>
            <m:sty m:val="p"/>
          </m:rPr>
          <m:t>×</m:t>
        </m:r>
        <m:r>
          <m:rPr>
            <m:nor/>
            <m:sty m:val="p"/>
          </m:rPr>
          <m:t>ICRV</m:t>
        </m:r>
      </m:oMath>
      <w:r>
        <w:t xml:space="preserve">, p =.049), positioning foundational digital capability as a partial substitute for institutional infrastructure in converting exports into performance, a multi-economy extension of the institutional-voids logic (Khanna &amp; Palepu, 1997) into the digital domain. Third, this study formalises the Institutional Context Regime Variation (ICRV) framework as a firm-relevant contingency construct that orders economies jointly by institutional capability and exposure to resource vulnerability, and shows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This study draws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This study integrates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The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p>
      <w:pPr>
        <w:pStyle w:val="BodyText"/>
      </w:pPr>
      <w:r>
        <w:rPr>
          <w:bCs/>
          <w:b/>
        </w:rPr>
        <w:t xml:space="preserve">ICRV vs prior institutional typologies.</w:t>
      </w:r>
      <w:r>
        <w:t xml:space="preserve"> </w:t>
      </w:r>
      <w:r>
        <w:t xml:space="preserve">ICRV is designed to do firm-relevant contingency work that prior typologies leave undone. Hoskisson, Eden, Lau, and Wright (2000) AMR partition emerging economies into four region-style groups (transition, developing Asia, Latin America, advanced industrial) keyed to strategic-management questions of entry and diversification; ICRV instead orders economies on two continuous theoretical dimensions (institutional capability × resource vulnerability) and is keyed to a firm-level I–P functional-form prediction. Peng (2003) and Wright, Filatotchev, Hoskisson, and Peng (2005) developed an institution-based view that treats institutional transitions as a</w:t>
      </w:r>
      <w:r>
        <w:t xml:space="preserve"> </w:t>
      </w:r>
      <w:r>
        <w:rPr>
          <w:iCs/>
          <w:i/>
        </w:rPr>
        <w:t xml:space="preserve">third leg</w:t>
      </w:r>
      <w:r>
        <w:t xml:space="preserve"> </w:t>
      </w:r>
      <w:r>
        <w:t xml:space="preserve">of strategy research alongside industry and resource conditions; ICRV operationalises that institution-based logic into a six-group taxonomy with explicit performance-curve predictions across the full Asian/Pacific institutional spectrum rather than the emerging-economy slice the institution-based view addresses. Whitley’s (1999)</w:t>
      </w:r>
      <w:r>
        <w:t xml:space="preserve"> </w:t>
      </w:r>
      <w:r>
        <w:rPr>
          <w:iCs/>
          <w:i/>
        </w:rPr>
        <w:t xml:space="preserve">Divergent Capitalisms</w:t>
      </w:r>
      <w:r>
        <w:t xml:space="preserve"> </w:t>
      </w:r>
      <w:r>
        <w:t xml:space="preserve">typologises mature OECD business systems on owner-manager, supplier, and labour-market dimensions; ICRV extends this beyond OECD coverage and adds the resource-vulnerability axis that Whitley’s mature-market frame excludes. Hoskisson, Wright, Filatotchev, and Peng (2013) identify mid-range emerging multinationals as an under-theorised category; ICRV’s Group III–IV explicitly captures this mid-range and predicts (in H5) that I–P concavity should deepen there rather than at the frontier alone. Cuervo-Cazurra, Ciravegna, Melgarejo, and Lopez (2017) document an uncertainty-management capability that mediates the I–P relationship under home-country uncertainty; ICRV is complementary in that it positions institutional uncertainty at the</w:t>
      </w:r>
      <w:r>
        <w:t xml:space="preserve"> </w:t>
      </w:r>
      <w:r>
        <w:rPr>
          <w:iCs/>
          <w:i/>
        </w:rPr>
        <w:t xml:space="preserve">regime</w:t>
      </w:r>
      <w:r>
        <w:t xml:space="preserve"> </w:t>
      </w:r>
      <w:r>
        <w:t xml:space="preserve">rather than the</w:t>
      </w:r>
      <w:r>
        <w:t xml:space="preserve"> </w:t>
      </w:r>
      <w:r>
        <w:rPr>
          <w:iCs/>
          <w:i/>
        </w:rPr>
        <w:t xml:space="preserve">firm-capability</w:t>
      </w:r>
      <w:r>
        <w:t xml:space="preserve"> </w:t>
      </w:r>
      <w:r>
        <w:t xml:space="preserve">level and predicts the shape of the I–P function that firms operate on, on which the uncertainty-management capability would be a firm-level shifter. ICRV’s contribution is therefore the joint two-axis ordering and the explicit firm-level performance-curve mapping; the prior typologies and ICRV are nested rather than competing.</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=.545). For Singapore (companion study), the relationship is predominantly positive with a very late turning point (~82%), consistent with near-monotonic returns in a high-institutional, digitally saturated economy. Pooled across a much larger and institutionally heterogeneous sample, this study expects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this study expects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beyond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This study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w:t>
      </w:r>
      <m:oMath>
        <m:r>
          <m:t>β</m:t>
        </m:r>
      </m:oMath>
      <w:r>
        <w:t xml:space="preserve">(TCI) = +0.179, IV-identified) and the companion China study (</w:t>
      </w:r>
      <m:oMath>
        <m:r>
          <m:t>β</m:t>
        </m:r>
      </m:oMath>
      <w:r>
        <w:t xml:space="preserve">(TCI)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Specifically, in institutionally advanced economies where digital infrastructure is mature, DAI provides universal performance lifts (as in the companion Singapore study:</w:t>
      </w:r>
      <w:r>
        <w:t xml:space="preserve"> </w:t>
      </w:r>
      <m:oMath>
        <m:r>
          <m:t>β</m:t>
        </m:r>
      </m:oMath>
      <w:r>
        <w:t xml:space="preserve">(DAI) positive and significant). In emerging-economy contexts with substantial selection into digital adoption (the companion Vietnam study: IV-estimated</w:t>
      </w:r>
      <w:r>
        <w:t xml:space="preserve"> </w:t>
      </w:r>
      <m:oMath>
        <m:r>
          <m:t>β</m:t>
        </m:r>
      </m:oMath>
      <w:r>
        <w:t xml:space="preserve">(DAI)</w:t>
      </w:r>
      <w:r>
        <w:t xml:space="preserve"> </w:t>
      </w:r>
      <m:oMath>
        <m:r>
          <m:rPr>
            <m:sty m:val="p"/>
          </m:rPr>
          <m:t>≈</m:t>
        </m:r>
      </m:oMath>
      <w:r>
        <w:t xml:space="preserve"> </w:t>
      </w:r>
      <w:r>
        <w:t xml:space="preserve">0, consistent with selection bias in OLS), DAI’s curve-shaping role is attenuated. Across the pooled multi-economy sample, this study expects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w:t>
      </w:r>
      <w:r>
        <w:t xml:space="preserve"> </w:t>
      </w:r>
      <m:oMath>
        <m:r>
          <m:rPr>
            <m:nor/>
            <m:sty m:val="p"/>
          </m:rPr>
          <m:t>FSTS</m:t>
        </m:r>
        <m:r>
          <m:rPr>
            <m:sty m:val="p"/>
          </m:rPr>
          <m:t>×</m:t>
        </m:r>
        <m:r>
          <m:rPr>
            <m:nor/>
            <m:sty m:val="p"/>
          </m:rPr>
          <m:t>DAI</m:t>
        </m:r>
      </m:oMath>
      <w:r>
        <w:t xml:space="preserve"> </w:t>
      </w:r>
      <w:r>
        <w:t xml:space="preserve">interaction paired with a positive</w:t>
      </w:r>
      <w:r>
        <w:t xml:space="preserve"> </w:t>
      </w:r>
      <m:oMath>
        <m:sSup>
          <m:e>
            <m:r>
              <m:rPr>
                <m:nor/>
                <m:sty m:val="p"/>
              </m:rPr>
              <m:t>FSTS</m:t>
            </m:r>
          </m:e>
          <m:sup>
            <m:r>
              <m:t>2</m:t>
            </m:r>
          </m:sup>
        </m:sSup>
        <m:r>
          <m:rPr>
            <m:sty m:val="p"/>
          </m:rPr>
          <m:t>×</m:t>
        </m:r>
        <m:r>
          <m:rPr>
            <m:nor/>
            <m:sty m:val="p"/>
          </m:rPr>
          <m:t>DAI</m:t>
        </m:r>
      </m:oMath>
      <w:r>
        <w:t xml:space="preserve"> </w:t>
      </w:r>
      <w:r>
        <w:t xml:space="preserve">interaction, admits two non-exclusive readings that the present design cannot fully separate, and this study flags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this study returns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This study expects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This study operationalises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this study states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This study expects positive</w:t>
      </w:r>
      <w:r>
        <w:t xml:space="preserve"> </w:t>
      </w:r>
      <m:oMath>
        <m:r>
          <m:rPr>
            <m:nor/>
            <m:sty m:val="p"/>
          </m:rPr>
          <m:t>FSTS</m:t>
        </m:r>
        <m:r>
          <m:rPr>
            <m:sty m:val="p"/>
          </m:rPr>
          <m:t>×</m:t>
        </m:r>
        <m:r>
          <m:rPr>
            <m:nor/>
            <m:sty m:val="p"/>
          </m:rPr>
          <m:t>ICRV</m:t>
        </m:r>
      </m:oMath>
      <w:r>
        <w:t xml:space="preserve"> </w:t>
      </w:r>
      <w:r>
        <w:t xml:space="preserve">and negative</w:t>
      </w:r>
      <w:r>
        <w:t xml:space="preserve"> </w:t>
      </w:r>
      <m:oMath>
        <m:sSup>
          <m:e>
            <m:r>
              <m:rPr>
                <m:nor/>
                <m:sty m:val="p"/>
              </m:rPr>
              <m:t>FSTS</m:t>
            </m:r>
          </m:e>
          <m:sup>
            <m:r>
              <m:t>2</m:t>
            </m:r>
          </m:sup>
        </m:sSup>
        <m:r>
          <m:rPr>
            <m:sty m:val="p"/>
          </m:rPr>
          <m:t>×</m:t>
        </m:r>
        <m:r>
          <m:rPr>
            <m:nor/>
            <m:sty m:val="p"/>
          </m:rPr>
          <m:t>ICRV</m:t>
        </m:r>
      </m:oMath>
      <w:r>
        <w:t xml:space="preserve"> </w:t>
      </w:r>
      <w:r>
        <w:t xml:space="preserve">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w:t>
      </w:r>
      <w:r>
        <w:t xml:space="preserve"> </w:t>
      </w:r>
      <m:oMath>
        <m:r>
          <m:rPr>
            <m:nor/>
            <m:sty m:val="p"/>
          </m:rPr>
          <m:t>DAI</m:t>
        </m:r>
        <m:r>
          <m:rPr>
            <m:sty m:val="p"/>
          </m:rPr>
          <m:t>×</m:t>
        </m:r>
        <m:r>
          <m:rPr>
            <m:nor/>
            <m:sty m:val="p"/>
          </m:rPr>
          <m:t>ICRV</m:t>
        </m:r>
      </m:oMath>
      <w:r>
        <w:t xml:space="preserve"> </w:t>
      </w:r>
      <w:r>
        <w:t xml:space="preserve">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rPr>
          <w:bCs/>
          <w:b/>
        </w:rPr>
        <w:t xml:space="preserve">Companion-paper disclosure.</w:t>
      </w:r>
      <w:r>
        <w:t xml:space="preserve"> </w:t>
      </w:r>
      <w:r>
        <w:t xml:space="preserve">Throughout the paper this study makes repeated reference to</w:t>
      </w:r>
      <w:r>
        <w:t xml:space="preserve"> </w:t>
      </w:r>
      <w:r>
        <w:t xml:space="preserve">“</w:t>
      </w:r>
      <w:r>
        <w:t xml:space="preserve">the companion Vietnam study,</w:t>
      </w:r>
      <w:r>
        <w:t xml:space="preserve">”</w:t>
      </w:r>
      <w:r>
        <w:t xml:space="preserve"> </w:t>
      </w:r>
      <w:r>
        <w:t xml:space="preserve">“</w:t>
      </w:r>
      <w:r>
        <w:t xml:space="preserve">the companion China study,</w:t>
      </w:r>
      <w:r>
        <w:t xml:space="preserve">”</w:t>
      </w:r>
      <w:r>
        <w:t xml:space="preserve"> </w:t>
      </w:r>
      <w:r>
        <w:t xml:space="preserve">and</w:t>
      </w:r>
      <w:r>
        <w:t xml:space="preserve"> </w:t>
      </w:r>
      <w:r>
        <w:t xml:space="preserve">“</w:t>
      </w:r>
      <w:r>
        <w:t xml:space="preserve">the companion Singapore study.</w:t>
      </w:r>
      <w:r>
        <w:t xml:space="preserve">”</w:t>
      </w:r>
      <w:r>
        <w:t xml:space="preserve"> </w:t>
      </w:r>
      <w:r>
        <w:t xml:space="preserve">These are three single-country working papers prepared by the present author group on the same WBES data infrastructure, each tested as a stand-alone analysis under blinded peer review at separate journals. They are referred to with the</w:t>
      </w:r>
      <w:r>
        <w:t xml:space="preserve"> </w:t>
      </w:r>
      <w:r>
        <w:rPr>
          <w:iCs/>
          <w:i/>
        </w:rPr>
        <w:t xml:space="preserve">companion</w:t>
      </w:r>
      <w:r>
        <w:t xml:space="preserve"> </w:t>
      </w:r>
      <w:r>
        <w:t xml:space="preserve">label rather than cited as Author Citations because (a) the present manuscript is under blinded review and the author identities are masked, and (b) the country-specific findings are stable inputs the present analysis discusses but does not re-derive. This study flags the relationship rather than conceal it so that readers may interpret the cross-paper consistency claims with appropriate caution: the country comparators are drawn from the present study’s own research programme, not from independent third-party replications.</w:t>
      </w:r>
    </w:p>
    <w:p>
      <w:pPr>
        <w:pStyle w:val="BodyText"/>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This study uses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This study adopts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this study excludes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w:t>
      </w:r>
      <m:oMath>
        <m:sSub>
          <m:e>
            <m:r>
              <m:rPr>
                <m:nor/>
                <m:sty m:val="p"/>
              </m:rPr>
              <m:t>FSTS</m:t>
            </m:r>
          </m:e>
          <m:sub>
            <m:r>
              <m:t>c</m:t>
            </m:r>
          </m:sub>
        </m:sSub>
      </m:oMath>
      <w:r>
        <w:t xml:space="preserve">); the quadratic term</w:t>
      </w:r>
      <w:r>
        <w:t xml:space="preserve"> </w:t>
      </w:r>
      <m:oMath>
        <m:sSubSup>
          <m:e>
            <m:r>
              <m:rPr>
                <m:nor/>
                <m:sty m:val="p"/>
              </m:rPr>
              <m:t>FSTS</m:t>
            </m:r>
          </m:e>
          <m:sub>
            <m:r>
              <m:t>c</m:t>
            </m:r>
          </m:sub>
          <m:sup>
            <m:r>
              <m:t>2</m:t>
            </m:r>
          </m:sup>
        </m:sSubSup>
      </m:oMath>
      <w:r>
        <w:t xml:space="preserve"> </w:t>
      </w:r>
      <w:r>
        <w:t xml:space="preserve">is computed from the centred value.</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The analysis estimates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and (b) the turning point lies strictly within the observed FSTS range, and (c) the slope at the extremes satisfies the directional prediction. The analysis reports the turning point as: TP = −</w:t>
      </w:r>
      <m:oMath>
        <m:sSub>
          <m:e>
            <m:r>
              <m:t>β</m:t>
            </m:r>
          </m:e>
          <m:sub>
            <m:r>
              <m:t>1</m:t>
            </m:r>
          </m:sub>
        </m:sSub>
      </m:oMath>
      <w:r>
        <w:t xml:space="preserve"> </w:t>
      </w:r>
      <w:r>
        <w:t xml:space="preserve">/ (2</w:t>
      </w:r>
      <m:oMath>
        <m:sSub>
          <m:e>
            <m:r>
              <m:t>β</m:t>
            </m:r>
          </m:e>
          <m:sub>
            <m:r>
              <m:t>2</m:t>
            </m:r>
          </m:sub>
        </m:sSub>
      </m:oMath>
      <w:r>
        <w:t xml:space="preserve">) + mean(FSTS), where</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are estimated on the mean-centred</w:t>
      </w:r>
      <w:r>
        <w:t xml:space="preserve"> </w:t>
      </w:r>
      <m:oMath>
        <m:sSub>
          <m:e>
            <m:r>
              <m:rPr>
                <m:nor/>
                <m:sty m:val="p"/>
              </m:rPr>
              <m:t>FSTS</m:t>
            </m:r>
          </m:e>
          <m:sub>
            <m:r>
              <m:t>c</m:t>
            </m:r>
          </m:sub>
        </m:sSub>
      </m:oMath>
      <w:r>
        <w:t xml:space="preserve"> </w:t>
      </w:r>
      <w:r>
        <w:t xml:space="preserve">scale and the result is expressed as a proportion (0–1) of total sales.</w:t>
      </w:r>
    </w:p>
    <w:p>
      <w:pPr>
        <w:pStyle w:val="BodyText"/>
      </w:pPr>
      <w:r>
        <w:t xml:space="preserve">For moderation tests (M7–M11), this study includes interaction terms FSTS</w:t>
      </w:r>
      <m:oMath>
        <m:r>
          <m:rPr>
            <m:sty m:val="p"/>
          </m:rPr>
          <m:t>×</m:t>
        </m:r>
      </m:oMath>
      <w:r>
        <w:t xml:space="preserve">moderator and</w:t>
      </w:r>
      <w:r>
        <w:t xml:space="preserve"> </w:t>
      </w:r>
      <m:oMath>
        <m:sSup>
          <m:e>
            <m:r>
              <m:rPr>
                <m:nor/>
                <m:sty m:val="p"/>
              </m:rPr>
              <m:t>FSTS</m:t>
            </m:r>
          </m:e>
          <m:sup>
            <m:r>
              <m:t>2</m:t>
            </m:r>
          </m:sup>
        </m:sSup>
      </m:oMath>
      <m:oMath>
        <m:r>
          <m:rPr>
            <m:sty m:val="p"/>
          </m:rPr>
          <m:t>×</m:t>
        </m:r>
      </m:oMath>
      <w:r>
        <w:t xml:space="preserve">moderator. The joint significance of the two interaction terms is tested with an F-test; the analysis reports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this study adopts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this study records as a boundary on causal interpretation.</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w:t>
      </w:r>
      <w:r>
        <w:t xml:space="preserve"> </w:t>
      </w:r>
      <m:oMath>
        <m:r>
          <m:rPr>
            <m:sty m:val="p"/>
          </m:rPr>
          <m:t>≈</m:t>
        </m:r>
      </m:oMath>
      <w:r>
        <w:t xml:space="preserve"> </w:t>
      </w:r>
      <w:r>
        <w:t xml:space="preserve">36,481; adding DAI (M8) N</w:t>
      </w:r>
      <w:r>
        <w:t xml:space="preserve"> </w:t>
      </w:r>
      <m:oMath>
        <m:r>
          <m:rPr>
            <m:sty m:val="p"/>
          </m:rPr>
          <m:t>≈</m:t>
        </m:r>
      </m:oMath>
      <w:r>
        <w:t xml:space="preserve"> </w:t>
      </w:r>
      <w:r>
        <w:t xml:space="preserve">36,372; manager models (M9) N</w:t>
      </w:r>
      <w:r>
        <w:t xml:space="preserve"> </w:t>
      </w:r>
      <m:oMath>
        <m:r>
          <m:rPr>
            <m:sty m:val="p"/>
          </m:rPr>
          <m:t>≈</m:t>
        </m:r>
      </m:oMath>
      <w:r>
        <w:t xml:space="preserve"> </w:t>
      </w:r>
      <w:r>
        <w:t xml:space="preserve">34,228; ICRV-moderation (M10) N</w:t>
      </w:r>
      <w:r>
        <w:t xml:space="preserve"> </w:t>
      </w:r>
      <m:oMath>
        <m:r>
          <m:rPr>
            <m:sty m:val="p"/>
          </m:rPr>
          <m:t>≈</m:t>
        </m:r>
      </m:oMath>
      <w:r>
        <w:t xml:space="preserve"> </w:t>
      </w:r>
      <w:r>
        <w:t xml:space="preserve">30,360; full three-way (M11) N</w:t>
      </w:r>
      <w:r>
        <w:t xml:space="preserve"> </w:t>
      </w:r>
      <m:oMath>
        <m:r>
          <m:rPr>
            <m:sty m:val="p"/>
          </m:rPr>
          <m:t>≈</m:t>
        </m:r>
      </m:oMath>
      <w:r>
        <w:t xml:space="preserve"> </w:t>
      </w:r>
      <w:r>
        <w:t xml:space="preserve">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w:t>
      </w:r>
      <w:r>
        <w:t xml:space="preserve"> </w:t>
      </w:r>
      <m:oMath>
        <m:r>
          <m:rPr>
            <m:sty m:val="p"/>
          </m:rPr>
          <m:t>≈</m:t>
        </m:r>
      </m:oMath>
      <w:r>
        <w:t xml:space="preserve"> </w:t>
      </w:r>
      <w:r>
        <w:t xml:space="preserve">0), reflecting the fact that most WBES firms are domestically oriented; exporters (FSTS &gt; 0) represent approximately 18% of the sample. Labour productivity ranges from ln(LP)</w:t>
      </w:r>
      <w:r>
        <w:t xml:space="preserve"> </w:t>
      </w:r>
      <m:oMath>
        <m:r>
          <m:rPr>
            <m:sty m:val="p"/>
          </m:rPr>
          <m:t>≈</m:t>
        </m:r>
      </m:oMath>
      <w:r>
        <w:t xml:space="preserve"> </w:t>
      </w:r>
      <w:r>
        <w:t xml:space="preserve">9 (Kiribati, Timor-Leste) to ln(LP)</w:t>
      </w:r>
      <w:r>
        <w:t xml:space="preserve"> </w:t>
      </w:r>
      <m:oMath>
        <m:r>
          <m:rPr>
            <m:sty m:val="p"/>
          </m:rPr>
          <m:t>≈</m:t>
        </m:r>
      </m:oMath>
      <w:r>
        <w:t xml:space="preserve"> </w:t>
      </w:r>
      <w:r>
        <w:t xml:space="preserve">20 (Vietnam, Korea, reflecting PPP-unadjusted nominal sales differences). Pairwise correlations among focal variables are modest (|r| &lt;.15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w:t>
      </w:r>
      <m:oMath>
        <m:sSup>
          <m:e>
            <m:r>
              <m:t>R</m:t>
            </m:r>
          </m:e>
          <m:sup>
            <m:r>
              <m:t>2</m:t>
            </m:r>
          </m:sup>
        </m:sSup>
      </m:oMath>
      <w:r>
        <w:t xml:space="preserve"> </w:t>
      </w:r>
      <w:r>
        <w:t xml:space="preserve">=.000). Adding the quadratic term</w:t>
      </w:r>
      <w:r>
        <w:t xml:space="preserve"> </w:t>
      </w:r>
      <m:oMath>
        <m:sSup>
          <m:e>
            <m:r>
              <m:rPr>
                <m:nor/>
                <m:sty m:val="p"/>
              </m:rPr>
              <m:t>FSTS</m:t>
            </m:r>
          </m:e>
          <m:sup>
            <m:r>
              <m:t>2</m:t>
            </m:r>
          </m:sup>
        </m:sSup>
      </m:oMath>
      <w:r>
        <w:t xml:space="preserve"> </w:t>
      </w:r>
      <w:r>
        <w:t xml:space="preserve">(M2) yields</w:t>
      </w:r>
      <w:r>
        <w:t xml:space="preserve"> </w:t>
      </w:r>
      <m:oMath>
        <m:sSub>
          <m:e>
            <m:r>
              <m:t>β</m:t>
            </m:r>
          </m:e>
          <m:sub>
            <m:r>
              <m:t>1</m:t>
            </m:r>
          </m:sub>
        </m:sSub>
      </m:oMath>
      <w:r>
        <w:t xml:space="preserve"> </w:t>
      </w:r>
      <w:r>
        <w:t xml:space="preserve">= +1.211 (p &lt;.001) and</w:t>
      </w:r>
      <w:r>
        <w:t xml:space="preserve"> </w:t>
      </w:r>
      <m:oMath>
        <m:sSub>
          <m:e>
            <m:r>
              <m:t>β</m:t>
            </m:r>
          </m:e>
          <m:sub>
            <m:r>
              <m:t>2</m:t>
            </m:r>
          </m:sub>
        </m:sSub>
      </m:oMath>
      <w:r>
        <w:t xml:space="preserve"> </w:t>
      </w:r>
      <w:r>
        <w:t xml:space="preserve">= −1.630 (p &lt;.001), consistent with an inverted-U. Following Haans, Pieters, and He (2016), all four formal conditions for a genuine inverted-U are satisfied in M2: (C1)</w:t>
      </w:r>
      <w:r>
        <w:t xml:space="preserve"> </w:t>
      </w:r>
      <m:oMath>
        <m:sSub>
          <m:e>
            <m:r>
              <m:t>β</m:t>
            </m:r>
          </m:e>
          <m:sub>
            <m:r>
              <m:t>1</m:t>
            </m:r>
          </m:sub>
        </m:sSub>
      </m:oMath>
      <w:r>
        <w:t xml:space="preserve"> </w:t>
      </w:r>
      <w:r>
        <w:t xml:space="preserve">= +1.211 (p &lt;.001), confirming a positive ascending limb; (C2)</w:t>
      </w:r>
      <w:r>
        <w:t xml:space="preserve"> </w:t>
      </w:r>
      <m:oMath>
        <m:sSub>
          <m:e>
            <m:r>
              <m:t>β</m:t>
            </m:r>
          </m:e>
          <m:sub>
            <m:r>
              <m:t>2</m:t>
            </m:r>
          </m:sub>
        </m:sSub>
      </m:oMath>
      <w:r>
        <w:t xml:space="preserve"> </w:t>
      </w:r>
      <w:r>
        <w:t xml:space="preserve">= −1.630 (p &lt;.001), confirming concavity; (C3) the turning point TP*</w:t>
      </w:r>
      <w:r>
        <w:t xml:space="preserve"> </w:t>
      </w:r>
      <m:oMath>
        <m:r>
          <m:rPr>
            <m:sty m:val="p"/>
          </m:rPr>
          <m:t>≈</m:t>
        </m:r>
      </m:oMath>
      <w:r>
        <w:t xml:space="preserve"> </w:t>
      </w:r>
      <w:r>
        <w:t xml:space="preserve">37.1% lies well within the observed FSTS range [0%, 100%]; and (C4) the marginal effect of internationalization is positive at the lower data boundary (FSTS</w:t>
      </w:r>
      <w:r>
        <w:t xml:space="preserve"> </w:t>
      </w:r>
      <m:oMath>
        <m:r>
          <m:rPr>
            <m:sty m:val="p"/>
          </m:rPr>
          <m:t>≈</m:t>
        </m:r>
      </m:oMath>
      <w:r>
        <w:t xml:space="preserve"> </w:t>
      </w:r>
      <w:r>
        <w:t xml:space="preserve">0%, slope</w:t>
      </w:r>
      <w:r>
        <w:t xml:space="preserve"> </w:t>
      </w:r>
      <m:oMath>
        <m:r>
          <m:rPr>
            <m:sty m:val="p"/>
          </m:rPr>
          <m:t>≈</m:t>
        </m:r>
      </m:oMath>
      <w:r>
        <w:t xml:space="preserve"> </w:t>
      </w:r>
      <w:r>
        <w:t xml:space="preserve">+1.21) and negative at the upper boundary (FSTS</w:t>
      </w:r>
      <w:r>
        <w:t xml:space="preserve"> </w:t>
      </w:r>
      <m:oMath>
        <m:r>
          <m:rPr>
            <m:sty m:val="p"/>
          </m:rPr>
          <m:t>≈</m:t>
        </m:r>
      </m:oMath>
      <w:r>
        <w:t xml:space="preserve"> </w:t>
      </w:r>
      <w:r>
        <w:t xml:space="preserve">100%, slope</w:t>
      </w:r>
      <w:r>
        <w:t xml:space="preserve"> </w:t>
      </w:r>
      <m:oMath>
        <m:r>
          <m:rPr>
            <m:sty m:val="p"/>
          </m:rPr>
          <m:t>≈</m:t>
        </m:r>
      </m:oMath>
      <w:r>
        <w:t xml:space="preserve"> </w:t>
      </w:r>
      <w:r>
        <w:t xml:space="preserve">−2.05), with opposite signs confirmed by the Lind–Mehlum (2010) u-test (joint p &lt;.001). The inverted-U remains significant when controls are added (M3: TP = 34.1%, LM p &lt;.001) and when country-year fixed effects absorb all unobserved time-varying country heterogeneity (M5: TP = 39.5%, LM p &lt;.001, adj</w:t>
      </w:r>
      <m:oMath>
        <m:sSup>
          <m:e>
            <m:r>
              <m:t>R</m:t>
            </m:r>
          </m:e>
          <m:sup>
            <m:r>
              <m:t>2</m:t>
            </m:r>
          </m:sup>
        </m:sSup>
      </m:oMath>
      <w:r>
        <w:t xml:space="preserve"> </w:t>
      </w:r>
      <w:r>
        <w:t xml:space="preserve">=.671). The consistency of the turning point across M2, M3, and M5, ranging from 34.1% to 39.5%, provides strong evidence that the inverted-U is not an artefact of omitted country-level confounders. The inverted-U is also confirmed in the full three-way moderation model M11 (TP = 25.7%, LM p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w:t>
      </w:r>
      <w:r>
        <w:t xml:space="preserve"> </w:t>
      </w:r>
      <m:oMath>
        <m:r>
          <m:t>β</m:t>
        </m:r>
      </m:oMath>
      <w:r>
        <w:t xml:space="preserve"> </w:t>
      </w:r>
      <w:r>
        <w:t xml:space="preserve">= +0.342, p &lt;.001) raises adj</w:t>
      </w:r>
      <m:oMath>
        <m:sSup>
          <m:e>
            <m:r>
              <m:t>R</m:t>
            </m:r>
          </m:e>
          <m:sup>
            <m:r>
              <m:t>2</m:t>
            </m:r>
          </m:sup>
        </m:sSup>
      </m:oMath>
      <w:r>
        <w:t xml:space="preserve"> </w:t>
      </w:r>
      <w:r>
        <w:t xml:space="preserve">from.017 to.027. The interaction model M7 adds</w:t>
      </w:r>
      <w:r>
        <w:t xml:space="preserve"> </w:t>
      </w:r>
      <m:oMath>
        <m:r>
          <m:rPr>
            <m:nor/>
            <m:sty m:val="p"/>
          </m:rPr>
          <m:t>FSTS</m:t>
        </m:r>
        <m:r>
          <m:rPr>
            <m:sty m:val="p"/>
          </m:rPr>
          <m:t>×</m:t>
        </m:r>
        <m:r>
          <m:rPr>
            <m:nor/>
            <m:sty m:val="p"/>
          </m:rPr>
          <m:t>TCI</m:t>
        </m:r>
      </m:oMath>
      <w:r>
        <w:t xml:space="preserve"> </w:t>
      </w:r>
      <w:r>
        <w:t xml:space="preserve">and</w:t>
      </w:r>
      <w:r>
        <w:t xml:space="preserve"> </w:t>
      </w:r>
      <m:oMath>
        <m:sSup>
          <m:e>
            <m:r>
              <m:rPr>
                <m:nor/>
                <m:sty m:val="p"/>
              </m:rPr>
              <m:t>FSTS</m:t>
            </m:r>
          </m:e>
          <m:sup>
            <m:r>
              <m:t>2</m:t>
            </m:r>
          </m:sup>
        </m:sSup>
        <m:r>
          <m:rPr>
            <m:sty m:val="p"/>
          </m:rPr>
          <m:t>×</m:t>
        </m:r>
        <m:r>
          <m:rPr>
            <m:nor/>
            <m:sty m:val="p"/>
          </m:rPr>
          <m:t>TCI</m:t>
        </m:r>
      </m:oMath>
      <w:r>
        <w:t xml:space="preserve">. Results show:</w:t>
      </w:r>
    </w:p>
    <w:p>
      <w:pPr>
        <w:numPr>
          <w:ilvl w:val="0"/>
          <w:numId w:val="1001"/>
        </w:numPr>
        <w:pStyle w:val="Compact"/>
      </w:pPr>
      <w:r>
        <w:t xml:space="preserve">TCI main effect:</w:t>
      </w:r>
      <w:r>
        <w:t xml:space="preserve"> </w:t>
      </w:r>
      <m:oMath>
        <m:r>
          <m:t>β</m:t>
        </m:r>
      </m:oMath>
      <w:r>
        <w:t xml:space="preserve"> </w:t>
      </w:r>
      <w:r>
        <w:t xml:space="preserve">= +0.372 (p &lt;.001), higher TCI raises baseline performance</w:t>
      </w:r>
    </w:p>
    <w:p>
      <w:pPr>
        <w:numPr>
          <w:ilvl w:val="0"/>
          <w:numId w:val="1001"/>
        </w:numPr>
        <w:pStyle w:val="Compact"/>
      </w:pPr>
      <m:oMath>
        <m:r>
          <m:rPr>
            <m:nor/>
            <m:sty m:val="p"/>
          </m:rPr>
          <m:t>FSTS</m:t>
        </m:r>
        <m:r>
          <m:rPr>
            <m:sty m:val="p"/>
          </m:rPr>
          <m:t>×</m:t>
        </m:r>
        <m:r>
          <m:rPr>
            <m:nor/>
            <m:sty m:val="p"/>
          </m:rPr>
          <m:t>TCI</m:t>
        </m:r>
      </m:oMath>
      <w:r>
        <w:t xml:space="preserve">:</w:t>
      </w:r>
      <w:r>
        <w:t xml:space="preserve"> </w:t>
      </w:r>
      <m:oMath>
        <m:r>
          <m:t>β</m:t>
        </m:r>
      </m:oMath>
      <w:r>
        <w:t xml:space="preserve"> </w:t>
      </w:r>
      <w:r>
        <w:t xml:space="preserve">= −0.090 (NS), the ascending limb interaction is not significant</w:t>
      </w:r>
    </w:p>
    <w:p>
      <w:pPr>
        <w:numPr>
          <w:ilvl w:val="0"/>
          <w:numId w:val="1001"/>
        </w:numPr>
        <w:pStyle w:val="Compact"/>
      </w:pPr>
      <m:oMath>
        <m:sSup>
          <m:e>
            <m:r>
              <m:rPr>
                <m:nor/>
                <m:sty m:val="p"/>
              </m:rPr>
              <m:t>FSTS</m:t>
            </m:r>
          </m:e>
          <m:sup>
            <m:r>
              <m:t>2</m:t>
            </m:r>
          </m:sup>
        </m:sSup>
        <m:r>
          <m:rPr>
            <m:sty m:val="p"/>
          </m:rPr>
          <m:t>×</m:t>
        </m:r>
        <m:r>
          <m:rPr>
            <m:nor/>
            <m:sty m:val="p"/>
          </m:rPr>
          <m:t>TCI</m:t>
        </m:r>
      </m:oMath>
      <w:r>
        <w:t xml:space="preserve">:</w:t>
      </w:r>
      <w:r>
        <w:t xml:space="preserve"> </w:t>
      </w:r>
      <m:oMath>
        <m:r>
          <m:t>β</m:t>
        </m:r>
      </m:oMath>
      <w:r>
        <w:t xml:space="preserve"> </w:t>
      </w:r>
      <w:r>
        <w:t xml:space="preserve">= −0.227 (NS in M7; remains NS in M8, p =.077)</w:t>
      </w:r>
    </w:p>
    <w:p>
      <w:pPr>
        <w:pStyle w:val="FirstParagraph"/>
      </w:pPr>
      <w:r>
        <w:t xml:space="preserve">The joint F-test for the two TCI interaction terms is not significant across M7–M9. The inverted-U remains confirmed in M7 (TP = 34.2%, LM p &lt;.001). A one-SD increase in TCI raises labour productivity by exp(0.372) − 1</w:t>
      </w:r>
      <w:r>
        <w:t xml:space="preserve"> </w:t>
      </w:r>
      <m:oMath>
        <m:r>
          <m:rPr>
            <m:sty m:val="p"/>
          </m:rPr>
          <m:t>≈</m:t>
        </m:r>
      </m:oMath>
      <w:r>
        <w:t xml:space="preserve"> </w:t>
      </w:r>
      <w:r>
        <w:t xml:space="preserve">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w:t>
      </w:r>
      <m:oMath>
        <m:r>
          <m:t>β</m:t>
        </m:r>
      </m:oMath>
      <w:r>
        <w:t xml:space="preserve"> </w:t>
      </w:r>
      <w:r>
        <w:t xml:space="preserve">= +0.172, p &lt;.001), consistent with approximately a 19% performance premium for digitally active firms (exp(0.172) − 1</w:t>
      </w:r>
      <w:r>
        <w:t xml:space="preserve"> </w:t>
      </w:r>
      <m:oMath>
        <m:r>
          <m:rPr>
            <m:sty m:val="p"/>
          </m:rPr>
          <m:t>≈</m:t>
        </m:r>
      </m:oMath>
      <w:r>
        <w:t xml:space="preserve"> </w:t>
      </w:r>
      <w:r>
        <w:t xml:space="preserve">19%). Strikingly, both DAI interaction terms are statistically significant in M8:</w:t>
      </w:r>
      <w:r>
        <w:t xml:space="preserve"> </w:t>
      </w:r>
      <m:oMath>
        <m:r>
          <m:rPr>
            <m:nor/>
            <m:sty m:val="p"/>
          </m:rPr>
          <m:t>FSTS</m:t>
        </m:r>
        <m:r>
          <m:rPr>
            <m:sty m:val="p"/>
          </m:rPr>
          <m:t>×</m:t>
        </m:r>
        <m:r>
          <m:rPr>
            <m:nor/>
            <m:sty m:val="p"/>
          </m:rPr>
          <m:t>DAI</m:t>
        </m:r>
      </m:oMath>
      <w:r>
        <w:t xml:space="preserve"> </w:t>
      </w:r>
      <w:r>
        <w:t xml:space="preserve">= −0.588 (p &lt;.001,</w:t>
      </w:r>
      <w:r>
        <w:t xml:space="preserve"> </w:t>
      </w:r>
      <w:r>
        <w:rPr>
          <w:bCs/>
          <w:b/>
          <w:iCs/>
          <w:i/>
        </w:rPr>
        <w:t xml:space="preserve">) and</w:t>
      </w:r>
      <w:r>
        <w:rPr>
          <w:bCs/>
          <w:b/>
          <w:iCs/>
          <w:i/>
        </w:rPr>
        <w:t xml:space="preserve"> </w:t>
      </w:r>
      <m:oMath>
        <m:sSup>
          <m:e>
            <m:r>
              <m:rPr>
                <m:nor/>
                <m:sty m:val="p"/>
              </m:rPr>
              <m:t>FSTS</m:t>
            </m:r>
          </m:e>
          <m:sup>
            <m:r>
              <m:t>2</m:t>
            </m:r>
          </m:sup>
        </m:sSup>
        <m:r>
          <m:rPr>
            <m:sty m:val="p"/>
          </m:rPr>
          <m:t>×</m:t>
        </m:r>
        <m:r>
          <m:rPr>
            <m:nor/>
            <m:sty m:val="p"/>
          </m:rPr>
          <m:t>DAI</m:t>
        </m:r>
      </m:oMath>
      <w:r>
        <w:rPr>
          <w:bCs/>
          <w:b/>
          <w:iCs/>
          <w:i/>
        </w:rPr>
        <w:t xml:space="preserve"> </w:t>
      </w:r>
      <w:r>
        <w:rPr>
          <w:bCs/>
          <w:b/>
          <w:iCs/>
          <w:i/>
        </w:rPr>
        <w:t xml:space="preserve">= +0.726 (p =.002,</w:t>
      </w:r>
      <w:r>
        <w:rPr>
          <w:bCs/>
          <w:b/>
          <w:iCs/>
          <w:i/>
        </w:rPr>
        <w:t xml:space="preserve"> </w:t>
      </w:r>
      <w:r>
        <w:rPr>
          <w:iCs/>
          <w:i/>
        </w:rPr>
        <w:t xml:space="preserve">). The interaction pattern, negative</w:t>
      </w:r>
      <w:r>
        <w:rPr>
          <w:iCs/>
          <w:i/>
        </w:rPr>
        <w:t xml:space="preserve"> </w:t>
      </w:r>
      <m:oMath>
        <m:r>
          <m:rPr>
            <m:nor/>
            <m:sty m:val="p"/>
          </m:rPr>
          <m:t>FSTS</m:t>
        </m:r>
        <m:r>
          <m:rPr>
            <m:sty m:val="p"/>
          </m:rPr>
          <m:t>×</m:t>
        </m:r>
        <m:r>
          <m:rPr>
            <m:nor/>
            <m:sty m:val="p"/>
          </m:rPr>
          <m:t>DAI</m:t>
        </m:r>
      </m:oMath>
      <w:r>
        <w:rPr>
          <w:iCs/>
          <w:i/>
        </w:rPr>
        <w:t xml:space="preserve"> </w:t>
      </w:r>
      <w:r>
        <w:rPr>
          <w:iCs/>
          <w:i/>
        </w:rPr>
        <w:t xml:space="preserve">and positive</w:t>
      </w:r>
      <w:r>
        <w:rPr>
          <w:iCs/>
          <w:i/>
        </w:rPr>
        <w:t xml:space="preserve"> </w:t>
      </w:r>
      <m:oMath>
        <m:sSup>
          <m:e>
            <m:r>
              <m:rPr>
                <m:nor/>
                <m:sty m:val="p"/>
              </m:rPr>
              <m:t>FSTS</m:t>
            </m:r>
          </m:e>
          <m:sup>
            <m:r>
              <m:t>2</m:t>
            </m:r>
          </m:sup>
        </m:sSup>
        <m:r>
          <m:rPr>
            <m:sty m:val="p"/>
          </m:rPr>
          <m:t>×</m:t>
        </m:r>
        <m:r>
          <m:rPr>
            <m:nor/>
            <m:sty m:val="p"/>
          </m:rPr>
          <m:t>DAI</m:t>
        </m:r>
      </m:oMath>
      <w:r>
        <w:rPr>
          <w:iCs/>
          <w:i/>
        </w:rPr>
        <w:t xml:space="preserve">,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w:t>
      </w:r>
      <w:r>
        <w:rPr>
          <w:iCs/>
          <w:i/>
        </w:rPr>
        <w:t xml:space="preserve"> </w:t>
      </w:r>
      <m:oMath>
        <m:r>
          <m:rPr>
            <m:nor/>
            <m:sty m:val="p"/>
          </m:rPr>
          <m:t>FSTS</m:t>
        </m:r>
        <m:r>
          <m:rPr>
            <m:sty m:val="p"/>
          </m:rPr>
          <m:t>×</m:t>
        </m:r>
        <m:r>
          <m:rPr>
            <m:nor/>
            <m:sty m:val="p"/>
          </m:rPr>
          <m:t>DAI</m:t>
        </m:r>
      </m:oMath>
      <w:r>
        <w:rPr>
          <w:iCs/>
          <w:i/>
        </w:rPr>
        <w:t xml:space="preserve"> </w:t>
      </w:r>
      <w:r>
        <w:rPr>
          <w:iCs/>
          <w:i/>
        </w:rPr>
        <w:t xml:space="preserve">= −0.786 (p &lt;.001,</w:t>
      </w:r>
      <w:r>
        <w:rPr>
          <w:iCs/>
          <w:i/>
        </w:rPr>
        <w:t xml:space="preserve"> </w:t>
      </w:r>
      <w:r>
        <w:rPr>
          <w:bCs/>
          <w:b/>
        </w:rPr>
        <w:t xml:space="preserve">) and</w:t>
      </w:r>
      <w:r>
        <w:rPr>
          <w:bCs/>
          <w:b/>
        </w:rPr>
        <w:t xml:space="preserve"> </w:t>
      </w:r>
      <m:oMath>
        <m:sSup>
          <m:e>
            <m:r>
              <m:rPr>
                <m:nor/>
                <m:sty m:val="p"/>
              </m:rPr>
              <m:t>FSTS</m:t>
            </m:r>
          </m:e>
          <m:sup>
            <m:r>
              <m:t>2</m:t>
            </m:r>
          </m:sup>
        </m:sSup>
        <m:r>
          <m:rPr>
            <m:sty m:val="p"/>
          </m:rPr>
          <m:t>×</m:t>
        </m:r>
        <m:r>
          <m:rPr>
            <m:nor/>
            <m:sty m:val="p"/>
          </m:rPr>
          <m:t>DAI</m:t>
        </m:r>
      </m:oMath>
      <w:r>
        <w:rPr>
          <w:bCs/>
          <w:b/>
        </w:rPr>
        <w:t xml:space="preserve"> </w:t>
      </w:r>
      <w:r>
        <w:rPr>
          <w:bCs/>
          <w:b/>
        </w:rPr>
        <w:t xml:space="preserve">= +0.982 (p &lt;.001,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w:t>
      </w:r>
      <m:oMath>
        <m:r>
          <m:t>β</m:t>
        </m:r>
      </m:oMath>
      <w:r>
        <w:t xml:space="preserve"> </w:t>
      </w:r>
      <w:r>
        <w:t xml:space="preserve">= +0.018, p &lt;.001) and female top manager (</w:t>
      </w:r>
      <m:oMath>
        <m:r>
          <m:t>β</m:t>
        </m:r>
      </m:oMath>
      <w:r>
        <w:t xml:space="preserve"> </w:t>
      </w:r>
      <w:r>
        <w:t xml:space="preserve">= +0.202, p &lt;.001) both raise firm performance independently of FSTS in M9. The experience effect implies approximately 2% higher labour productivity per additional year of sectoral experience; the female top manager effect implies approximately a 22% performance premium (exp(0.202) − 1</w:t>
      </w:r>
      <w:r>
        <w:t xml:space="preserve"> </w:t>
      </w:r>
      <m:oMath>
        <m:r>
          <m:rPr>
            <m:sty m:val="p"/>
          </m:rPr>
          <m:t>≈</m:t>
        </m:r>
      </m:oMath>
      <w:r>
        <w:t xml:space="preserve"> </w:t>
      </w:r>
      <w:r>
        <w:t xml:space="preserve">22%). The FSTS</w:t>
      </w:r>
      <m:oMath>
        <m:r>
          <m:rPr>
            <m:sty m:val="p"/>
          </m:rPr>
          <m:t>×</m:t>
        </m:r>
      </m:oMath>
      <w:r>
        <w:t xml:space="preserve">manager_experience interaction is not significant in either M9 (</w:t>
      </w:r>
      <m:oMath>
        <m:r>
          <m:t>β</m:t>
        </m:r>
      </m:oMath>
      <w:r>
        <w:t xml:space="preserve"> </w:t>
      </w:r>
      <w:r>
        <w:t xml:space="preserve">= +0.005, p =.29) or M11 (</w:t>
      </w:r>
      <m:oMath>
        <m:r>
          <m:t>β</m:t>
        </m:r>
      </m:oMath>
      <w:r>
        <w:t xml:space="preserve"> </w:t>
      </w:r>
      <w:r>
        <w:t xml:space="preserve">= +0.007, p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w:t>
      </w:r>
      <m:oMath>
        <m:r>
          <m:t>β</m:t>
        </m:r>
      </m:oMath>
      <w:r>
        <w:t xml:space="preserve"> </w:t>
      </w:r>
      <w:r>
        <w:t xml:space="preserve">= +0.592, p &lt;.001) indicates that, controlling for TCI, DAI, and firm characteristics, each step up the ICRV scale (from Group I to VI, i.e., from stronger to weaker institutions) is associated with approximately an 81% higher labour productivity level (exp(0.592) − 1</w:t>
      </w:r>
      <w:r>
        <w:t xml:space="preserve"> </w:t>
      </w:r>
      <m:oMath>
        <m:r>
          <m:rPr>
            <m:sty m:val="p"/>
          </m:rPr>
          <m:t>≈</m:t>
        </m:r>
      </m:oMath>
      <w:r>
        <w:t xml:space="preserve"> </w:t>
      </w:r>
      <w:r>
        <w:t xml:space="preserve">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w:t>
      </w:r>
      <w:r>
        <w:t xml:space="preserve"> </w:t>
      </w:r>
      <m:oMath>
        <m:r>
          <m:rPr>
            <m:nor/>
            <m:sty m:val="p"/>
          </m:rPr>
          <m:t>FSTS</m:t>
        </m:r>
        <m:r>
          <m:rPr>
            <m:sty m:val="p"/>
          </m:rPr>
          <m:t>×</m:t>
        </m:r>
        <m:r>
          <m:rPr>
            <m:nor/>
            <m:sty m:val="p"/>
          </m:rPr>
          <m:t>ICRV</m:t>
        </m:r>
      </m:oMath>
      <w:r>
        <w:t xml:space="preserve"> </w:t>
      </w:r>
      <w:r>
        <w:t xml:space="preserve">(</w:t>
      </w:r>
      <m:oMath>
        <m:r>
          <m:t>β</m:t>
        </m:r>
      </m:oMath>
      <w:r>
        <w:t xml:space="preserve"> </w:t>
      </w:r>
      <w:r>
        <w:t xml:space="preserve">= +1.849, p &lt;.001) and</w:t>
      </w:r>
      <w:r>
        <w:t xml:space="preserve"> </w:t>
      </w:r>
      <m:oMath>
        <m:sSup>
          <m:e>
            <m:r>
              <m:rPr>
                <m:nor/>
                <m:sty m:val="p"/>
              </m:rPr>
              <m:t>FSTS</m:t>
            </m:r>
          </m:e>
          <m:sup>
            <m:r>
              <m:t>2</m:t>
            </m:r>
          </m:sup>
        </m:sSup>
        <m:r>
          <m:rPr>
            <m:sty m:val="p"/>
          </m:rPr>
          <m:t>×</m:t>
        </m:r>
        <m:r>
          <m:rPr>
            <m:nor/>
            <m:sty m:val="p"/>
          </m:rPr>
          <m:t>ICRV</m:t>
        </m:r>
      </m:oMath>
      <w:r>
        <w:t xml:space="preserve"> </w:t>
      </w:r>
      <w:r>
        <w:t xml:space="preserve">(</w:t>
      </w:r>
      <m:oMath>
        <m:r>
          <m:t>β</m:t>
        </m:r>
      </m:oMath>
      <w:r>
        <w:t xml:space="preserve"> </w:t>
      </w:r>
      <w:r>
        <w:t xml:space="preserve">= −2.932, p &lt;.001). The negative</w:t>
      </w:r>
      <w:r>
        <w:t xml:space="preserve"> </w:t>
      </w:r>
      <m:oMath>
        <m:sSup>
          <m:e>
            <m:r>
              <m:rPr>
                <m:nor/>
                <m:sty m:val="p"/>
              </m:rPr>
              <m:t>FSTS</m:t>
            </m:r>
          </m:e>
          <m:sup>
            <m:r>
              <m:t>2</m:t>
            </m:r>
          </m:sup>
        </m:sSup>
        <m:r>
          <m:rPr>
            <m:sty m:val="p"/>
          </m:rPr>
          <m:t>×</m:t>
        </m:r>
        <m:r>
          <m:rPr>
            <m:nor/>
            <m:sty m:val="p"/>
          </m:rPr>
          <m:t>ICRV</m:t>
        </m:r>
      </m:oMath>
      <w:r>
        <w:t xml:space="preserve"> </w:t>
      </w:r>
      <w:r>
        <w:t xml:space="preserve">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w:t>
      </w:r>
      <m:oMath>
        <m:r>
          <m:rPr>
            <m:nor/>
            <m:sty m:val="p"/>
          </m:rPr>
          <m:t>FSTS</m:t>
        </m:r>
        <m:r>
          <m:rPr>
            <m:sty m:val="p"/>
          </m:rPr>
          <m:t>×</m:t>
        </m:r>
        <m:r>
          <m:rPr>
            <m:nor/>
            <m:sty m:val="p"/>
          </m:rPr>
          <m:t>DAI</m:t>
        </m:r>
        <m:r>
          <m:rPr>
            <m:sty m:val="p"/>
          </m:rPr>
          <m:t>×</m:t>
        </m:r>
        <m:r>
          <m:rPr>
            <m:nor/>
            <m:sty m:val="p"/>
          </m:rPr>
          <m:t>ICRV</m:t>
        </m:r>
      </m:oMath>
      <w:r>
        <w:t xml:space="preserve">, plus constituent lower-order interactions). The Lind–Mehlum test in M11 confirms the inverted-U (TP = 25.7%, LM p =.026), establishing that the inverted-U shape holds even in the most demanding specification.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 is statistically significant, consistent with the CDCM prediction that digital capabilities provide stronger per-unit performance effects in weaker institutional environments.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w:t>
      </w:r>
      <m:oMath>
        <m:r>
          <m:t>β</m:t>
        </m:r>
      </m:oMath>
      <w:r>
        <w:t xml:space="preserve"> </w:t>
      </w:r>
      <w:r>
        <w:t xml:space="preserve">= −0.016, NS) is not significant, indicating that the DAI curve-reshaping effect documented in M8/M9 does not systematically vary across the ICRV regime gradient in this specification.</w:t>
      </w:r>
    </w:p>
    <w:p>
      <w:pPr>
        <w:pStyle w:val="BodyText"/>
      </w:pPr>
      <w:r>
        <w:t xml:space="preserve">Adj</w:t>
      </w:r>
      <m:oMath>
        <m:sSup>
          <m:e>
            <m:r>
              <m:t>R</m:t>
            </m:r>
          </m:e>
          <m:sup>
            <m:r>
              <m:t>2</m:t>
            </m:r>
          </m:sup>
        </m:sSup>
      </m:oMath>
      <w:r>
        <w:t xml:space="preserve"> </w:t>
      </w:r>
      <w:r>
        <w:t xml:space="preserve">=.057 in M11 (vs..039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w:t>
      </w:r>
      <w:r>
        <w:t xml:space="preserve"> </w:t>
      </w:r>
      <m:oMath>
        <m:r>
          <m:rPr>
            <m:nor/>
            <m:sty m:val="p"/>
          </m:rPr>
          <m:t>DAI</m:t>
        </m:r>
        <m:r>
          <m:rPr>
            <m:sty m:val="p"/>
          </m:rPr>
          <m:t>×</m:t>
        </m:r>
        <m:r>
          <m:rPr>
            <m:nor/>
            <m:sty m:val="p"/>
          </m:rPr>
          <m:t>ICRV</m:t>
        </m:r>
      </m:oMath>
      <w:r>
        <w:t xml:space="preserve"> </w:t>
      </w:r>
      <w:r>
        <w:t xml:space="preserve">main interaction is statistically significant (p =.049), supporting regime-contingent digital effects. The three-way FSTS curve-reshaping via</w:t>
      </w:r>
      <w:r>
        <w:t xml:space="preserve"> </w:t>
      </w:r>
      <m:oMath>
        <m:r>
          <m:rPr>
            <m:nor/>
            <m:sty m:val="p"/>
          </m:rPr>
          <m:t>DAI</m:t>
        </m:r>
        <m:r>
          <m:rPr>
            <m:sty m:val="p"/>
          </m:rPr>
          <m:t>×</m:t>
        </m:r>
        <m:r>
          <m:rPr>
            <m:nor/>
            <m:sty m:val="p"/>
          </m:rPr>
          <m:t>ICRV</m:t>
        </m:r>
      </m:oMath>
      <w:r>
        <w:t xml:space="preserve"> </w:t>
      </w:r>
      <w:r>
        <w:t xml:space="preserve">does not reach statistical significance,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this study tests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w:t>
      </w:r>
      <m:oMath>
        <m:sSup>
          <m:e>
            <m:r>
              <m:rPr>
                <m:nor/>
                <m:sty m:val="p"/>
              </m:rPr>
              <m:t>FSTS</m:t>
            </m:r>
          </m:e>
          <m:sup>
            <m:r>
              <m:t>2</m:t>
            </m:r>
          </m:sup>
        </m:sSup>
      </m:oMath>
      <w:r>
        <w:t xml:space="preserve"> </w:t>
      </w:r>
      <m:oMath>
        <m:r>
          <m:t>β</m:t>
        </m:r>
      </m:oMath>
      <w:r>
        <w:t xml:space="preserve"> </w:t>
      </w:r>
      <w:r>
        <w:t xml:space="preserve">= −0.80, p =.008; TP</w:t>
      </w:r>
      <w:r>
        <w:t xml:space="preserve"> </w:t>
      </w:r>
      <m:oMath>
        <m:r>
          <m:rPr>
            <m:sty m:val="p"/>
          </m:rPr>
          <m:t>≈</m:t>
        </m:r>
      </m:oMath>
      <w:r>
        <w:t xml:space="preserve"> </w:t>
      </w:r>
      <w:r>
        <w:t xml:space="preserve">37%) but is</w:t>
      </w:r>
      <w:r>
        <w:t xml:space="preserve"> </w:t>
      </w:r>
      <w:r>
        <w:rPr>
          <w:bCs/>
          <w:b/>
        </w:rPr>
        <w:t xml:space="preserve">not</w:t>
      </w:r>
      <w:r>
        <w:t xml:space="preserve"> </w:t>
      </w:r>
      <w:r>
        <w:t xml:space="preserve">detected for sales growth (</w:t>
      </w:r>
      <m:oMath>
        <m:sSup>
          <m:e>
            <m:r>
              <m:rPr>
                <m:nor/>
                <m:sty m:val="p"/>
              </m:rPr>
              <m:t>FSTS</m:t>
            </m:r>
          </m:e>
          <m:sup>
            <m:r>
              <m:t>2</m:t>
            </m:r>
          </m:sup>
        </m:sSup>
      </m:oMath>
      <w:r>
        <w:t xml:space="preserve"> </w:t>
      </w:r>
      <m:oMath>
        <m:r>
          <m:t>β</m:t>
        </m:r>
      </m:oMath>
      <w:r>
        <w:t xml:space="preserve"> </w:t>
      </w:r>
      <m:oMath>
        <m:r>
          <m:rPr>
            <m:sty m:val="p"/>
          </m:rPr>
          <m:t>≈</m:t>
        </m:r>
      </m:oMath>
      <w:r>
        <w:t xml:space="preserve"> </w:t>
      </w:r>
      <w:r>
        <w:t xml:space="preserve">0, p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this study flags this as a measurement limitation. The primary inverted-U finding should therefore be read as a property of cross-sectional productivity levels, not of firm growth trajectories.</w:t>
      </w:r>
    </w:p>
    <w:p>
      <w:r>
        <w:pict>
          <v:rect style="width:0;height:1.5pt" o:hralign="center" o:hrstd="t" o:hr="t"/>
        </w:pict>
      </w:r>
    </w:p>
    <w:bookmarkEnd w:id="42"/>
    <w:bookmarkEnd w:id="43"/>
    <w:bookmarkStart w:id="51"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The present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this study offers a</w:t>
      </w:r>
      <w:r>
        <w:t xml:space="preserve"> </w:t>
      </w:r>
      <w:r>
        <w:rPr>
          <w:bCs/>
          <w:b/>
        </w:rPr>
        <w:t xml:space="preserve">relocated-optimum reframing</w:t>
      </w:r>
      <w:r>
        <w:t xml:space="preserve"> </w:t>
      </w:r>
      <w:r>
        <w:t xml:space="preserve">of the two-decade debate over the shape of the I–P curve. This study does not claim a novel non-linear functional form; the inverted-U is well established (Lu &amp; Beamish, 2004; Contractor et al., 2003; Bausch &amp; Krist, 2007; Kirca et al., 2012; Marano et al., 2016), and the role of context as a moderator is the canonical response to the resulting heterogeneity (Kirca et al., 2012; Marano et al., 2016; Wu et al., 2022). Our integrative reframing is that the inverted-U holds across all six ICRV regime groups (H1) while its shape is</w:t>
      </w:r>
      <w:r>
        <w:t xml:space="preserve"> </w:t>
      </w:r>
      <w:r>
        <w:rPr>
          <w:iCs/>
          <w:i/>
        </w:rPr>
        <w:t xml:space="preserve">not</w:t>
      </w:r>
      <w:r>
        <w:t xml:space="preserve"> </w:t>
      </w:r>
      <w:r>
        <w:t xml:space="preserve">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therefore not to overturn the inverted-U canon but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The closest prior firm-level evidence is Bustamante, Mingo, and Matusik (2022), who document complementary institutional and digital-capability effects on SME internationalization in a multi-country sample; the contribution of this study is to extend that line by showing the substitution direction (not complementarity) emerges in the specific case of the export-intensity–performance conversion when the digital measure is the foundational Tier-1/Tier-2 capability captured by WBES across 45 institutionally heterogeneous economies. Read against this precedent, the result is incremental rather than discovery-class, and the substantive p =.049 estimate should be interpreted with appropriate caution (see Section 5.4).</w:t>
      </w:r>
    </w:p>
    <w:p>
      <w:pPr>
        <w:pStyle w:val="BodyText"/>
      </w:pPr>
      <w:r>
        <w:t xml:space="preserve">Third, the</w:t>
      </w:r>
      <w:r>
        <w:t xml:space="preserve"> </w:t>
      </w:r>
      <w:r>
        <w:rPr>
          <w:bCs/>
          <w:b/>
        </w:rPr>
        <w:t xml:space="preserve">level–relocation distinction</w:t>
      </w:r>
      <w:r>
        <w:t xml:space="preserve"> </w:t>
      </w:r>
      <w:r>
        <w:t xml:space="preserve">sharpens an analytical distinction that the capabilities and contingency literatures often invoke implicitly. Building on the long-standing distinction between performance-level shifters and curve-shape moderators in non-linear strategy research (Haans, Pieters, &amp; He, 2016), this study operationalises the distinction empirically across 45 economies: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this study offers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and the significant</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w:t>
      </w:r>
      <w:r>
        <w:t xml:space="preserve"> </w:t>
      </w:r>
      <m:oMath>
        <m:r>
          <m:rPr>
            <m:nor/>
            <m:sty m:val="p"/>
          </m:rPr>
          <m:t>DAI</m:t>
        </m:r>
        <m:r>
          <m:rPr>
            <m:sty m:val="p"/>
          </m:rPr>
          <m:t>×</m:t>
        </m:r>
        <m:r>
          <m:rPr>
            <m:nor/>
            <m:sty m:val="p"/>
          </m:rPr>
          <m:t>ICRV</m:t>
        </m:r>
      </m:oMath>
      <w:r>
        <w:t xml:space="preserve"> </w:t>
      </w:r>
      <w:r>
        <w:t xml:space="preserve">interaction is significant (</w:t>
      </w:r>
      <m:oMath>
        <m:r>
          <m:t>β</m:t>
        </m:r>
      </m:oMath>
      <w:r>
        <w:t xml:space="preserve"> </w:t>
      </w:r>
      <w:r>
        <w:t xml:space="preserve">= +0.052, p =.049) while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The analysis interprets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w:t>
      </w:r>
    </w:p>
    <w:p>
      <w:pPr>
        <w:pStyle w:val="BodyText"/>
      </w:pPr>
      <w:r>
        <w:t xml:space="preserve">A multiple-comparison caveat applies. The two-way</w:t>
      </w:r>
      <w:r>
        <w:t xml:space="preserve"> </w:t>
      </w:r>
      <m:oMath>
        <m:r>
          <m:rPr>
            <m:nor/>
            <m:sty m:val="p"/>
          </m:rPr>
          <m:t>DAI</m:t>
        </m:r>
        <m:r>
          <m:rPr>
            <m:sty m:val="p"/>
          </m:rPr>
          <m:t>×</m:t>
        </m:r>
        <m:r>
          <m:rPr>
            <m:nor/>
            <m:sty m:val="p"/>
          </m:rPr>
          <m:t>ICRV</m:t>
        </m:r>
      </m:oMath>
      <w:r>
        <w:t xml:space="preserve"> </w:t>
      </w:r>
      <w:r>
        <w:t xml:space="preserve">interaction at p =.049 was estimated alongside several other moderator and three-way terms across the M5–M11 sequence (Appendix A); under a Bonferroni-style correction for the principal interactions of theoretical interest (TCI moderation, DAI moderation, ICRV moderation, and the FSTS × DAI × ICRV three-way), the per-test threshold tightens to approximately</w:t>
      </w:r>
      <w:r>
        <w:t xml:space="preserve"> </w:t>
      </w:r>
      <m:oMath>
        <m:sSup>
          <m:e>
            <m:r>
              <m:t>α</m:t>
            </m:r>
          </m:e>
          <m:sup>
            <m:r>
              <m:rPr>
                <m:sty m:val="p"/>
              </m:rPr>
              <m:t>*</m:t>
            </m:r>
          </m:sup>
        </m:sSup>
        <m:r>
          <m:rPr>
            <m:sty m:val="p"/>
          </m:rPr>
          <m:t>≈</m:t>
        </m:r>
        <m:r>
          <m:t>.013</m:t>
        </m:r>
      </m:oMath>
      <w:r>
        <w:t xml:space="preserve">, which the p =.049 estimate does</w:t>
      </w:r>
      <w:r>
        <w:t xml:space="preserve"> </w:t>
      </w:r>
      <w:r>
        <w:rPr>
          <w:iCs/>
          <w:i/>
        </w:rPr>
        <w:t xml:space="preserve">not</w:t>
      </w:r>
      <w:r>
        <w:t xml:space="preserve"> </w:t>
      </w:r>
      <w:r>
        <w:t xml:space="preserve">survive. The ICRV moderation of curvature (H5, both linear and quadratic interaction terms p &lt;.001) remains robust under any reasonable family-wise correction. This study therefore report the substitution result as a directionally consistent, theoretically anchored but pre-correction borderline finding that motivates targeted replication on a Tier 3–4-capable digital instrument, not as a definitively established estimate. Reading the p =.049 estimate with this caution, this study frames the substitution claim as the most theoretically consequential and empirically supported component of the digital story relative to the null three-way, while leaving the curvature-reshaping potential of richer (Tier 3–4) digital capabilities as an open question for future data.</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the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w:t>
      </w:r>
      <m:oMath>
        <m:r>
          <m:rPr>
            <m:sty m:val="p"/>
          </m:rPr>
          <m:t>×</m:t>
        </m:r>
      </m:oMath>
      <w:r>
        <w:t xml:space="preserve">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the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the analysis estimates.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Five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w:t>
      </w:r>
      <m:oMath>
        <m:r>
          <m:t>β</m:t>
        </m:r>
      </m:oMath>
      <w:r>
        <w:t xml:space="preserve"> </w:t>
      </w:r>
      <w:r>
        <w:t xml:space="preserve">=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49"/>
    <w:bookmarkStart w:id="50" w:name="practical-and-policy-implications"/>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0"/>
    <w:bookmarkEnd w:id="51"/>
    <w:bookmarkStart w:id="52"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(suggestively) a partial substitute for institutional infrastructure; the</w:t>
      </w:r>
      <w:r>
        <w:t xml:space="preserve"> </w:t>
      </w:r>
      <m:oMath>
        <m:r>
          <m:rPr>
            <m:nor/>
            <m:sty m:val="p"/>
          </m:rPr>
          <m:t>DAI</m:t>
        </m:r>
        <m:r>
          <m:rPr>
            <m:sty m:val="p"/>
          </m:rPr>
          <m:t>×</m:t>
        </m:r>
        <m:r>
          <m:rPr>
            <m:nor/>
            <m:sty m:val="p"/>
          </m:rPr>
          <m:t>ICRV</m:t>
        </m:r>
      </m:oMath>
      <w:r>
        <w:t xml:space="preserve"> </w:t>
      </w:r>
      <w:r>
        <w:t xml:space="preserve">interaction at the level margin (p =.049, pre-correction borderline; Section 5.4) points toward digitalisation as a high-leverage instrument in frontier and vulnerable regimes, conditional on replication with Tier 3–4 digital instruments.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2"/>
    <w:bookmarkStart w:id="53"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(www.enterprisesurveys.org).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53"/>
    <w:bookmarkStart w:id="54" w:name="conflict-of-interest"/>
    <w:p>
      <w:pPr>
        <w:pStyle w:val="Heading2"/>
      </w:pPr>
      <w:r>
        <w:t xml:space="preserve">Conflict of Interest</w:t>
      </w:r>
    </w:p>
    <w:p>
      <w:pPr>
        <w:pStyle w:val="FirstParagraph"/>
      </w:pPr>
      <w:r>
        <w:t xml:space="preserve">The authors declare no conflict of interest.</w:t>
      </w:r>
    </w:p>
    <w:bookmarkEnd w:id="54"/>
    <w:bookmarkStart w:id="55"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5"/>
    <w:bookmarkStart w:id="5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underlying WBES data covering 45 Asian and Pacific economies (98 country-year waves). The findings, interpretations, and conclusions expressed in this paper are entirely those of the authors and do not necessarily represent the views of the World Bank Group, its Executive Directors, or the governments they represent.</w:t>
      </w:r>
    </w:p>
    <w:bookmarkEnd w:id="56"/>
    <w:bookmarkStart w:id="57"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the M0–M11 model ladder, formatting of the reference list, and assembly of replication-package documentation. All conceptual framing (including the CDCM framework and ICRV regime construct), hypothesis development, empirical analysis, results interpretation, and final wording were authored by the human authors, who take full responsibility for the content of the publication.</w:t>
      </w:r>
    </w:p>
    <w:bookmarkEnd w:id="57"/>
    <w:bookmarkStart w:id="5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8"/>
    <w:bookmarkStart w:id="59"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&lt;.001, ** p &lt;.01, * p &lt;.05, † p &lt;.10. Controls (female_owner, foreign_own_pct, firm_age, ln_size) included in M7–M10 but not reported for space. M11 (N=28,500, Adj</w:t>
      </w:r>
      <m:oMath>
        <m:sSup>
          <m:e>
            <m:r>
              <m:t>R</m:t>
            </m:r>
          </m:e>
          <m:sup>
            <m:r>
              <m:t>2</m:t>
            </m:r>
          </m:sup>
        </m:sSup>
      </m:oMath>
      <w:r>
        <w:t xml:space="preserve">=.057, TP=25.7%, LM p =.026):</w:t>
      </w:r>
      <w:r>
        <w:t xml:space="preserve"> </w:t>
      </w:r>
      <m:oMath>
        <m:r>
          <m:rPr>
            <m:nor/>
            <m:sty m:val="p"/>
          </m:rPr>
          <m:t>DAI</m:t>
        </m:r>
        <m:r>
          <m:rPr>
            <m:sty m:val="p"/>
          </m:rPr>
          <m:t>×</m:t>
        </m:r>
        <m:r>
          <m:rPr>
            <m:nor/>
            <m:sty m:val="p"/>
          </m:rPr>
          <m:t>ICRV</m:t>
        </m:r>
      </m:oMath>
      <w:r>
        <w:t xml:space="preserve">=+0.052</w:t>
      </w:r>
      <w:r>
        <w:rPr>
          <w:iCs/>
          <w:i/>
        </w:rPr>
        <w:t xml:space="preserve">, three-way</w:t>
      </w:r>
      <w:r>
        <w:rPr>
          <w:iCs/>
          <w:i/>
        </w:rPr>
        <w:t xml:space="preserve"> </w:t>
      </w:r>
      <m:oMath>
        <m:r>
          <m:rPr>
            <m:nor/>
            <m:sty m:val="p"/>
          </m:rPr>
          <m:t>FSTS</m:t>
        </m:r>
        <m:r>
          <m:rPr>
            <m:sty m:val="p"/>
          </m:rPr>
          <m:t>×</m:t>
        </m:r>
        <m:r>
          <m:rPr>
            <m:nor/>
            <m:sty m:val="p"/>
          </m:rPr>
          <m:t>DAI</m:t>
        </m:r>
        <m:r>
          <m:rPr>
            <m:sty m:val="p"/>
          </m:rPr>
          <m:t>×</m:t>
        </m:r>
        <m:r>
          <m:rPr>
            <m:nor/>
            <m:sty m:val="p"/>
          </m:rPr>
          <m:t>ICRV</m:t>
        </m:r>
      </m:oMath>
      <w:r>
        <w:rPr>
          <w:iCs/>
          <w:i/>
        </w:rPr>
        <w:t xml:space="preserve">=−0.016 (NS), mgr_experience=+0.022</w:t>
      </w:r>
      <w:r>
        <w:rPr>
          <w:bCs/>
          <w:b/>
        </w:rPr>
        <w:t xml:space="preserve">, FSTS</w:t>
      </w:r>
      <m:oMath>
        <m:r>
          <m:rPr>
            <m:sty m:val="p"/>
          </m:rPr>
          <m:t>×</m:t>
        </m:r>
      </m:oMath>
      <w:r>
        <w:rPr>
          <w:bCs/>
          <w:b/>
        </w:rPr>
        <w:t xml:space="preserve">mgr=+0.007 (NS), mgr_female=+0.210</w:t>
      </w:r>
      <w:r>
        <w:t xml:space="preserve">*, female_owner=+0.122**.</w:t>
      </w:r>
    </w:p>
    <w:p>
      <w:r>
        <w:pict>
          <v:rect style="width:0;height:1.5pt" o:hralign="center" o:hrstd="t" o:hr="t"/>
        </w:pict>
      </w:r>
    </w:p>
    <w:bookmarkEnd w:id="59"/>
    <w:bookmarkStart w:id="60"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2026-06-03T03:44:32Z</dcterms:created>
  <dcterms:modified xsi:type="dcterms:W3CDTF">2026-06-03T03:44:32Z</dcterms:modified>
</cp:coreProperties>
</file>

<file path=docProps/custom.xml><?xml version="1.0" encoding="utf-8"?>
<Properties xmlns="http://schemas.openxmlformats.org/officeDocument/2006/custom-properties" xmlns:vt="http://schemas.openxmlformats.org/officeDocument/2006/docPropsVTypes"/>
</file>