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whether it is non-linear; the unresolved question is what determines where its optimum falls. This study develops and test a multi-level account in which the inverted-U is universal in form but jointly conditioned by institutional regime and digital capability: regime governs amplitude; digital capability reshapes the curve as a partial substitute for institutional strength. Using harmonised World Bank Enterprise Survey microdata (N = 82,302; 45 economies; 98 country-year waves, 2003–2025) spanning all six Institutional Context Regime Variation (ICRV) groups, the analysis estimates hierarchical OLS models. The I–P relationship is robustly inverted-U with a turning point near 37% export intensity (Lind–Mehlum p &lt;.001). Concavity deepens as institutional quality declines, the over-internationalisation penalty is sharpest in frontier and vulnerable regimes. Digital adoption both raises performance and reshapes the curve; its reshaping potency is significantly stronger in weaker-institution regimes (</w:t>
      </w:r>
      <m:oMath>
        <m:r>
          <m:rPr>
            <m:nor/>
            <m:sty m:val="p"/>
          </m:rPr>
          <m:t>DAI</m:t>
        </m:r>
        <m:r>
          <m:rPr>
            <m:sty m:val="p"/>
          </m:rPr>
          <m:t>×</m:t>
        </m:r>
        <m:r>
          <m:rPr>
            <m:nor/>
            <m:sty m:val="p"/>
          </m:rPr>
          <m:t>ICRV</m:t>
        </m:r>
      </m:oMath>
      <w:r>
        <w:t xml:space="preserve"> </w:t>
      </w:r>
      <w:r>
        <w:t xml:space="preserve">p =.049), consistent with digital-for-institutional substitution. The account resolves the fragmented Asian I–P literature: divergent country findings locate firms at different positions on a single optimum.</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35"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is designed to do firm-relevant contingency work that prior typologies leave undone. Hoskisson, Eden, Lau, and Wright (2000) AMR partition emerging economies into four region-style groups (transition, developing Asia, Latin America, advanced industrial) keyed to strategic-management questions of entry and diversification; ICRV instead orders economies on two continuous theoretical dimensions (institutional capability × resource vulnerability) and is keyed to a firm-level I–P functional-form prediction. Peng (2003) and Wright, Filatotchev, Hoskisson, and Peng (2005) developed an institution-based view that treats institutional transitions as a</w:t>
      </w:r>
      <w:r>
        <w:t xml:space="preserve"> </w:t>
      </w:r>
      <w:r>
        <w:rPr>
          <w:iCs/>
          <w:i/>
        </w:rPr>
        <w:t xml:space="preserve">third leg</w:t>
      </w:r>
      <w:r>
        <w:t xml:space="preserve"> </w:t>
      </w:r>
      <w:r>
        <w:t xml:space="preserve">of strategy research alongside industry and resource conditions; ICRV operationalises that institution-based logic into a six-group taxonomy with explicit performance-curve predictions across the full Asian/Pacific institutional spectrum rather than the emerging-economy slice the institution-based view addresses. Whitley’s (1999)</w:t>
      </w:r>
      <w:r>
        <w:t xml:space="preserve"> </w:t>
      </w:r>
      <w:r>
        <w:rPr>
          <w:iCs/>
          <w:i/>
        </w:rPr>
        <w:t xml:space="preserve">Divergent Capitalisms</w:t>
      </w:r>
      <w:r>
        <w:t xml:space="preserve"> </w:t>
      </w:r>
      <w:r>
        <w:t xml:space="preserve">typologises mature OECD business systems on owner-manager, supplier, and labour-market dimensions; ICRV extends this beyond OECD coverage and adds the resource-vulnerability axis that Whitley’s mature-market frame excludes. Hoskisson, Wright, Filatotchev, and Peng (2013) identify mid-range emerging multinationals as an under-theorised category; ICRV’s Group III–IV explicitly captures this mid-range and predicts (in H5) that I–P concavity should deepen there rather than at the frontier alone. Cuervo-Cazurra, Ciravegna, Melgarejo, and Lopez (2017) document an uncertainty-management capability that mediates the I–P relationship under home-country uncertainty; ICRV is complementary in that it positions institutional uncertainty at the</w:t>
      </w:r>
      <w:r>
        <w:t xml:space="preserve"> </w:t>
      </w:r>
      <w:r>
        <w:rPr>
          <w:iCs/>
          <w:i/>
        </w:rPr>
        <w:t xml:space="preserve">regime</w:t>
      </w:r>
      <w:r>
        <w:t xml:space="preserve"> </w:t>
      </w:r>
      <w:r>
        <w:t xml:space="preserve">rather than the</w:t>
      </w:r>
      <w:r>
        <w:t xml:space="preserve"> </w:t>
      </w:r>
      <w:r>
        <w:rPr>
          <w:iCs/>
          <w:i/>
        </w:rPr>
        <w:t xml:space="preserve">firm-capability</w:t>
      </w:r>
      <w:r>
        <w:t xml:space="preserve"> </w:t>
      </w:r>
      <w:r>
        <w:t xml:space="preserve">level and predicts the shape of the I–P function that firms operate on, on which the uncertainty-management capability would be a firm-level shifter. ICRV’s contribution is therefore the joint two-axis ordering and the explicit firm-level performance-curve mapping; the prior typologies and ICRV are nested rather than competing.</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34"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pPr>
        <w:pStyle w:val="CaptionedFigure"/>
      </w:pPr>
      <w:r>
        <w:drawing>
          <wp:inline>
            <wp:extent cx="5334000" cy="3316399"/>
            <wp:effectExtent b="0" l="0" r="0" t="0"/>
            <wp:docPr descr="Figure 1: Conceptual model, relocated-optimum + digital-for-institutional substitution across 45 Asian and Pacific economies" title="" id="29" name="Picture"/>
            <a:graphic>
              <a:graphicData uri="http://schemas.openxmlformats.org/drawingml/2006/picture">
                <pic:pic>
                  <pic:nvPicPr>
                    <pic:cNvPr descr="figures/figure_1_conceptual_model.png" id="30" name="Picture"/>
                    <pic:cNvPicPr>
                      <a:picLocks noChangeArrowheads="1" noChangeAspect="1"/>
                    </pic:cNvPicPr>
                  </pic:nvPicPr>
                  <pic:blipFill>
                    <a:blip r:embed="rId28"/>
                    <a:stretch>
                      <a:fillRect/>
                    </a:stretch>
                  </pic:blipFill>
                  <pic:spPr bwMode="auto">
                    <a:xfrm>
                      <a:off x="0" y="0"/>
                      <a:ext cx="5334000" cy="3316399"/>
                    </a:xfrm>
                    <a:prstGeom prst="rect">
                      <a:avLst/>
                    </a:prstGeom>
                    <a:noFill/>
                    <a:ln w="9525">
                      <a:noFill/>
                      <a:headEnd/>
                      <a:tailEnd/>
                    </a:ln>
                  </pic:spPr>
                </pic:pic>
              </a:graphicData>
            </a:graphic>
          </wp:inline>
        </w:drawing>
      </w:r>
    </w:p>
    <w:p>
      <w:pPr>
        <w:pStyle w:val="ImageCaption"/>
      </w:pPr>
      <w:r>
        <w:t xml:space="preserve">Figure 1: Conceptual model, relocated-optimum + digital-for-institutional substitution across 45 Asian and Pacific economies</w:t>
      </w:r>
    </w:p>
    <w:p>
      <w:pPr>
        <w:pStyle w:val="BodyText"/>
      </w:pPr>
      <w:r>
        <w:rPr>
          <w:iCs/>
          <w:i/>
        </w:rPr>
        <w:t xml:space="preserve">Figure 1.</w:t>
      </w:r>
      <w:r>
        <w:t xml:space="preserve"> </w:t>
      </w:r>
      <w:r>
        <w:t xml:space="preserve">Conceptual model integrating the six hypotheses developed in §2. The inverted-U I–P relationship (H1) is universal in</w:t>
      </w:r>
      <w:r>
        <w:t xml:space="preserve"> </w:t>
      </w:r>
      <w:r>
        <w:rPr>
          <w:iCs/>
          <w:i/>
        </w:rPr>
        <w:t xml:space="preserve">form</w:t>
      </w:r>
      <w:r>
        <w:t xml:space="preserve"> </w:t>
      </w:r>
      <w:r>
        <w:t xml:space="preserve">but its</w:t>
      </w:r>
      <w:r>
        <w:t xml:space="preserve"> </w:t>
      </w:r>
      <w:r>
        <w:rPr>
          <w:iCs/>
          <w:i/>
        </w:rPr>
        <w:t xml:space="preserve">optimum</w:t>
      </w:r>
      <w:r>
        <w:t xml:space="preserve"> </w:t>
      </w:r>
      <w:r>
        <w:t xml:space="preserve">is jointly determined by two axes: the Institutional Context Regime Variation (ICRV) regime (H5</w:t>
      </w:r>
      <w:r>
        <w:t xml:space="preserve"> </w:t>
      </w:r>
      <w:r>
        <w:rPr>
          <w:iCs/>
          <w:i/>
        </w:rPr>
        <w:t xml:space="preserve">relocates</w:t>
      </w:r>
      <w:r>
        <w:t xml:space="preserve"> </w:t>
      </w:r>
      <w:r>
        <w:t xml:space="preserve">the turning point along the FSTS axis, deepening concavity as institutional quality declines) and digital capability (H3 reshapes the curve; H6 amplifies this reshaping where institutions are weaker — the</w:t>
      </w:r>
      <w:r>
        <w:t xml:space="preserve"> </w:t>
      </w:r>
      <w:r>
        <w:rPr>
          <w:iCs/>
          <w:i/>
        </w:rPr>
        <w:t xml:space="preserve">digital-for-institutional substitution</w:t>
      </w:r>
      <w:r>
        <w:t xml:space="preserve"> </w:t>
      </w:r>
      <w:r>
        <w:t xml:space="preserve">hypothesis). Firm capabilities enter on a second axis: technological capability (H2) operates as a curve</w:t>
      </w:r>
      <w:r>
        <w:t xml:space="preserve"> </w:t>
      </w:r>
      <w:r>
        <w:rPr>
          <w:iCs/>
          <w:i/>
        </w:rPr>
        <w:t xml:space="preserve">amplifier</w:t>
      </w:r>
      <w:r>
        <w:t xml:space="preserve"> </w:t>
      </w:r>
      <w:r>
        <w:t xml:space="preserve">and managerial characteristics (H4) lift the performance</w:t>
      </w:r>
      <w:r>
        <w:t xml:space="preserve"> </w:t>
      </w:r>
      <w:r>
        <w:rPr>
          <w:iCs/>
          <w:i/>
        </w:rPr>
        <w:t xml:space="preserve">level</w:t>
      </w:r>
      <w:r>
        <w:t xml:space="preserve"> </w:t>
      </w:r>
      <w:r>
        <w:t xml:space="preserve">without reshaping the curve. The contrast between optimum-relocating forces (ICRV + DAI) and firm-capability forces (TCI + managerial) is the analytical spine of the model. Data: WBES, 45 economies, 2003–2025, N = 82,302 firm-observations (M2) → 28,500 (M11 fully specified).</w:t>
      </w:r>
    </w:p>
    <w:p>
      <w:pPr>
        <w:pStyle w:val="CaptionedFigure"/>
      </w:pPr>
      <w:r>
        <w:drawing>
          <wp:inline>
            <wp:extent cx="5334000" cy="2099435"/>
            <wp:effectExtent b="0" l="0" r="0" t="0"/>
            <wp:docPr descr="Figure 2: ICRV regime gradient, distribution of 45 economies across the six institutional groups" title="" id="32" name="Picture"/>
            <a:graphic>
              <a:graphicData uri="http://schemas.openxmlformats.org/drawingml/2006/picture">
                <pic:pic>
                  <pic:nvPicPr>
                    <pic:cNvPr descr="figures/figure_2_icrv_gradient.png" id="33" name="Picture"/>
                    <pic:cNvPicPr>
                      <a:picLocks noChangeArrowheads="1" noChangeAspect="1"/>
                    </pic:cNvPicPr>
                  </pic:nvPicPr>
                  <pic:blipFill>
                    <a:blip r:embed="rId31"/>
                    <a:stretch>
                      <a:fillRect/>
                    </a:stretch>
                  </pic:blipFill>
                  <pic:spPr bwMode="auto">
                    <a:xfrm>
                      <a:off x="0" y="0"/>
                      <a:ext cx="5334000" cy="2099435"/>
                    </a:xfrm>
                    <a:prstGeom prst="rect">
                      <a:avLst/>
                    </a:prstGeom>
                    <a:noFill/>
                    <a:ln w="9525">
                      <a:noFill/>
                      <a:headEnd/>
                      <a:tailEnd/>
                    </a:ln>
                  </pic:spPr>
                </pic:pic>
              </a:graphicData>
            </a:graphic>
          </wp:inline>
        </w:drawing>
      </w:r>
    </w:p>
    <w:p>
      <w:pPr>
        <w:pStyle w:val="ImageCaption"/>
      </w:pPr>
      <w:r>
        <w:t xml:space="preserve">Figure 2: ICRV regime gradient, distribution of 45 economies across the six institutional groups</w:t>
      </w:r>
    </w:p>
    <w:p>
      <w:pPr>
        <w:pStyle w:val="BodyText"/>
      </w:pPr>
      <w:r>
        <w:rPr>
          <w:iCs/>
          <w:i/>
        </w:rPr>
        <w:t xml:space="preserve">Figure 2.</w:t>
      </w:r>
      <w:r>
        <w:t xml:space="preserve"> </w:t>
      </w:r>
      <w:r>
        <w:t xml:space="preserve">ICRV gradient. Distribution of the 45 Asian and Pacific economies in the analytic sample across the six ICRV groups, ordered by combined institutional capability (formal-institutional quality per WGI Rule of Law) and resource vulnerability (exposure to external shocks and narrow factor endowments). Group I (Advanced innovation-driven: Singapore, Korea, Taiwan, HongKong, Israel) → Group VI (SIDS and small open economies: Vanuatu, Solomon Islands, Timor-Leste, Fiji, Tonga, Samoa, Kiribati, Papua New Guinea). Higher ICRV group numbers denote weaker institutions. The gradient is used in H5 (deepening concavity → relocated optimum) and H6 (regime-contingent digital effects). Group classification anchored on World Bank WGI thresholds (+0.80 / -0.50 cut-offs) and validated against the broader research programme’s ICRV codebook.</w:t>
      </w:r>
    </w:p>
    <w:p>
      <w:r>
        <w:pict>
          <v:rect style="width:0;height:1.5pt" o:hralign="center" o:hrstd="t" o:hr="t"/>
        </w:pict>
      </w:r>
    </w:p>
    <w:bookmarkEnd w:id="34"/>
    <w:bookmarkEnd w:id="35"/>
    <w:bookmarkStart w:id="40" w:name="data-and-methods"/>
    <w:p>
      <w:pPr>
        <w:pStyle w:val="Heading2"/>
      </w:pPr>
      <w:r>
        <w:t xml:space="preserve">3. Data and Methods</w:t>
      </w:r>
    </w:p>
    <w:bookmarkStart w:id="36"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6"/>
    <w:bookmarkStart w:id="37"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7"/>
    <w:bookmarkStart w:id="38"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8"/>
    <w:bookmarkStart w:id="39"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9"/>
    <w:bookmarkEnd w:id="40"/>
    <w:bookmarkStart w:id="49" w:name="results"/>
    <w:p>
      <w:pPr>
        <w:pStyle w:val="Heading2"/>
      </w:pPr>
      <w:r>
        <w:t xml:space="preserve">4. Results</w:t>
      </w:r>
    </w:p>
    <w:bookmarkStart w:id="41"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41"/>
    <w:bookmarkStart w:id="42"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42"/>
    <w:bookmarkStart w:id="43"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43"/>
    <w:bookmarkStart w:id="44"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44"/>
    <w:bookmarkStart w:id="45"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45"/>
    <w:bookmarkStart w:id="46"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6"/>
    <w:bookmarkStart w:id="47"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7"/>
    <w:bookmarkStart w:id="48"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p>
      <w:r>
        <w:pict>
          <v:rect style="width:0;height:1.5pt" o:hralign="center" o:hrstd="t" o:hr="t"/>
        </w:pict>
      </w:r>
    </w:p>
    <w:bookmarkEnd w:id="48"/>
    <w:bookmarkEnd w:id="49"/>
    <w:bookmarkStart w:id="57" w:name="discussion"/>
    <w:p>
      <w:pPr>
        <w:pStyle w:val="Heading2"/>
      </w:pPr>
      <w:r>
        <w:t xml:space="preserve">5. Discussion</w:t>
      </w:r>
    </w:p>
    <w:bookmarkStart w:id="50"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50"/>
    <w:bookmarkStart w:id="51"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51"/>
    <w:bookmarkStart w:id="52"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52"/>
    <w:bookmarkStart w:id="53"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53"/>
    <w:bookmarkStart w:id="54"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54"/>
    <w:bookmarkStart w:id="55"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55"/>
    <w:bookmarkStart w:id="56"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6"/>
    <w:bookmarkEnd w:id="57"/>
    <w:bookmarkStart w:id="58"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8"/>
    <w:bookmarkStart w:id="59"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9"/>
    <w:bookmarkStart w:id="60" w:name="conflict-of-interest"/>
    <w:p>
      <w:pPr>
        <w:pStyle w:val="Heading2"/>
      </w:pPr>
      <w:r>
        <w:t xml:space="preserve">Conflict of Interest</w:t>
      </w:r>
    </w:p>
    <w:p>
      <w:pPr>
        <w:pStyle w:val="FirstParagraph"/>
      </w:pPr>
      <w:r>
        <w:t xml:space="preserve">The authors declare no conflict of interest.</w:t>
      </w:r>
    </w:p>
    <w:bookmarkEnd w:id="60"/>
    <w:bookmarkStart w:id="6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62"/>
    <w:bookmarkStart w:id="6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63"/>
    <w:bookmarkStart w:id="6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64"/>
    <w:bookmarkStart w:id="6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65"/>
    <w:bookmarkStart w:id="6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2026-06-03T06:58:26Z</dcterms:created>
  <dcterms:modified xsi:type="dcterms:W3CDTF">2026-06-03T06:58:26Z</dcterms:modified>
</cp:coreProperties>
</file>

<file path=docProps/custom.xml><?xml version="1.0" encoding="utf-8"?>
<Properties xmlns="http://schemas.openxmlformats.org/officeDocument/2006/custom-properties" xmlns:vt="http://schemas.openxmlformats.org/officeDocument/2006/docPropsVTypes"/>
</file>