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gồm Uppsala Model (Johanson &amp; Vahlne, 1977, 2009), Resource-Based View (Barney, 1991; Wernerfelt, 1984), Institutional Theory (North, 1990; Khanna &amp; Palepu, 2010; Peng, 2003), và Upper Echelons Theory (Hambrick &amp; Mason, 1984; Hambrick, 2007). Khung này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như sau.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gồm P3 Việt Nam (JABS, under review), P4 Singapore (MIR, under review), và P5 Trung Quốc (IJOEM, under review). Các bản thảo này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Các dạng hàm gồm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và Israel. Nhóm tiên tiến tài nguyên dẫn dắt (ICRV Nhóm II) gồm Saudi Arabia, Qatar, Kuwait, Bahrain, và Brunei. Nhóm trung bình cao (ICRV Nhóm III) gồm Trung Quốc, Malaysia, Thái Lan, Kazakhstan, Armenia, và Georgia. Nhóm đang nổi (ICRV Nhóm IV) gồm Việt Nam, Indonesia, Philippines, Ấn Độ, Sri Lanka, Jordan, và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Phân tích đó làm rõ ba quy luật (pattern) then chốt: phân tán năng suất tăng đơn điệu theo chế độ từ Nhóm I đến Nhóm VI; tính không đồng nhất nội bộ trong nhóm Advanced; và quy luật thích ứng (adaptation pattern)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quy luật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Phân tích này xác nhận chữ U ngược trong cả ba sóng với điểm uốn 46,2% (2009), 39,3% (2015), 41,6% (2023), 39,7% (tổng hợp); TCI nhân quả qua biến công cụ (β = 1,639, F bậc một = 22,1); và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Mô hình này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là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là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 FSTS² không có sự khác biệt đáng kể (p = 0,545). TCI tăng cường theo thời gian (+0,260 dẫn đến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Thứ nhất, TCI là nhân quả và bền vững qua ba nền kinh tế khác nhau. Thứ hai, DAI là phụ thuộc ngữ cảnh, không đồng nhất. Thứ ba,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Hiện tượng thứ nhất là doanh nghiệp quốc tế hóa ngay từ khi thành lập (Knight &amp; Cavusgil, 2004). Hiện tượng thứ hai là doanh nghiệp đa quốc gia từ thị trường mới nổi với quy trình quốc tế hóa khác biệt (Mathews, 2002; Luo &amp; Tung, 2007). Hiện tượng thứ ba là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dẫn đến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Họ đề xuất rằng nền tảng số làm thay đổi căn bản ba yếu tố cốt lõi của lý thuyết IB: khoảng cách tâm lý giảm đến mức tối thiểu; chuỗi giá trị phân mảnh ở quy mô chưa từng có; và việc doanh nghiệp quốc tế hóa ngay từ ngày đầu thành lập trở thành chuẩn mới.</w:t>
      </w:r>
    </w:p>
    <w:p>
      <w:pPr>
        <w:pStyle w:val="BodyText"/>
      </w:pPr>
      <w:r>
        <w:t xml:space="preserve">Verhoef và cộng sự (2021) đề xuất phân biệt rõ giữa hai loại năng lực. Loại thứ nhất là năng lực công nghệ nội tại (TCI) gồm R&amp;D doanh nghiệp, đổi mới sản phẩm, chứng nhận chất lượng ISO, và bằng sáng chế; loại này được đo lường bằng đầu vào và đầu ra của hoạt động đổi mới (Tier 3–4). Loại thứ hai là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gồm năm điểm.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Kết quả cũng phản ánh đặc điểm nhà quản trị (Upper Echelons/Hambrick &amp; Mason, 1984) và bị khuôn khổ bởi thể chế nội địa (Institutional Theory/North, 1990) qua gradient ICRV 6 nhóm với gánh nặng tắt buộc ở quốc đảo nhỏ. Cuối cùng, các tác động này thay đổi theo bối cảnh thời gian, được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gồm Uppsala Model, Resource-Based View, Institutional Theory, Upper Echelons Theory, và Foundational Digital Adoption Framework. Năm tầng này được tích hợp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w:t>
      </w:r>
      <w:r>
        <w:t xml:space="preserve">vì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dẫn đến Nhóm IV (~39–46%) dẫn đến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xác nhận TCI là nhân quả. P5 Trung Quốc: β_z(TCI) tăng từ +0,260 (2012) lên +0,426 (2024), Paternoster z = −2,55 (p = 0,011), cho thấy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phản ánh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dẫn đến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Dẫu vậy, kiểm định bằng biến công cụ tại Nhóm IV (Việt Nam) cho kết quả null (β = 0,018; p = 0,942), tức OLS dương phản ánh phụ thuộc chọn lựa chứ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Bên cạnh đó,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dẫn đến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dẫn đến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Các yếu tố này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dẫn đến III dẫn đến IV dẫn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và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tức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dẫn đến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tức DAI là nguồn lực mở rộng tình huống.</w:t>
      </w:r>
      <w:r>
        <w:t xml:space="preserve"> </w:t>
      </w:r>
      <w:r>
        <w:t xml:space="preserve">Kỳ vọng: β₅(FSTS²×DAI) &gt; 0 trong Nhóm I (nhất quán P4 Singapore +3,119); β₃(DAI trực tiếp) dẫn đến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dẫn đến III dẫn đến IV dẫn đến V dẫn đến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dẫn đến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thì kết quả này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năng lực mà các mô hình đơn lý thuyết không có.</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vốn chưa có trong văn liệu.</w:t>
      </w:r>
    </w:p>
    <w:p>
      <w:pPr>
        <w:pStyle w:val="BodyText"/>
      </w:pPr>
      <w:r>
        <w:t xml:space="preserve">Đóng góp 3: Phân loại nhánh Advanced thành Nhóm I và Nhóm II. Phát hiện từ phân tích mô tả về tính không đồng nhất trong Advanced, gồm Nhóm I (tiên tiến đổi mới: Singapore, Korea, HK, Đài Loan) so với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tức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gồm Uppsala, RBV, Institutional Theory, Upper Echelons, và Foundational Digital Adoption Framework. Năm tầng này được hiện thực hóa thành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được tóm tắt theo từng giả thuyết. H1 (phi tuyến) xác nhận chữ U ngược ở hầu hết nhóm ICRV với gradient điểm uốn từ Nhóm I đến Nhóm VI. H2 (TCI nâng mặt bằng) cho thấy TCI dương bền vững và nhân quả. H3a (DAI Emerging/Frontier) mang tính khám phá; H3b (DAI Advanced) β(FSTS²×DAI) dương trong Nhóm I (P4 xác nhận), null/phụ thuộc chọn lựa trong Nhóm IV (P3 IV null). H4a (Kinh nghiệm QL) exp_manager×FSTS dương; H4b (Học vấn QL) educ_manager×FSTS dương; H4c (Giới tính) exploratory. H5 (ICRV gradient) cho thấy điểm uốn gradient từ Nhóm I đến VI, với Nhóm VI mang gánh nặng tắt buộc. H6 (Thời gian) cho thấy DAI dịch chuyển 2009→2023 và TCI tăng cường theo thời gian.</w:t>
      </w:r>
    </w:p>
    <w:p>
      <w:pPr>
        <w:pStyle w:val="BodyText"/>
      </w:pPr>
      <w:r>
        <w:t xml:space="preserve">Đóng góp trung tâm là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bao gồm tích hợp ERP, triển khai AI, và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ba hướng tiếp cận. Hướng (i) dùng biến công cụ dựa trên tỷ lệ áp dụng trung bình ngành × vùng × sóng như IV cho TCI và DAI (chiến lược đã áp dụng thành công trong P3 với first-stage F = 22–35, vượt ngưỡng Staiger–Stock). Hướng (ii) thiết kế difference-in-differences khai thác các cú sốc chính sách ngoại sinh (ví dụ: CPTPP 2018, chiến tranh thương mại Mỹ-Trung 2018-2019) như ranh giới thực nghiệm tự nhiên. Hướng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về panel meta-analysis; Borenstein et al. (2021) về Bayesian meta-regression với thông tin tiền nghiệm. Về mở rộng bậc số hóa: Verhoef et al. (2021) về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gồm: (i) cDAI, mức độ số hóa cấp quốc gia; (ii) ICRV 6 nhóm; (iii) DPL phase. Kết quả MARA xác nhận: pooled</w:t>
      </w:r>
      <w:r>
        <w:t xml:space="preserve"> </w:t>
      </w:r>
      <w:r>
        <w:rPr>
          <w:iCs/>
          <w:i/>
        </w:rPr>
        <w:t xml:space="preserve">r</w:t>
      </w:r>
      <w:r>
        <w:t xml:space="preserve">=0,074 (CI [0,060; 0,088]), I²=62,4%; ICRV Q_M=17,35 (p=.002), tức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tức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 P7: Kiểm định H1–H6 toàn pool 49 nền kinh tế (JIBS, under revision):</w:t>
      </w:r>
      <w:r>
        <w:t xml:space="preserve"> </w:t>
      </w:r>
      <w:r>
        <w:t xml:space="preserve">P7 đã hoàn thành với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cho thấy TP</w:t>
      </w:r>
      <w:r>
        <w:t xml:space="preserve"> </w:t>
      </w:r>
      <w:r>
        <w:rPr>
          <w:bCs/>
          <w:b/>
        </w:rPr>
        <w:t xml:space="preserve">giảm</w:t>
      </w:r>
      <w:r>
        <w:t xml:space="preserve"> </w:t>
      </w:r>
      <w:r>
        <w:t xml:space="preserve">từ SIDS/Frontier (~55%) xuống Advanced Innovation (~28%); DAI×ICRV p=.012 (digital shield strongest khi thể chế yếu). P3 (Nhóm IV), P4 (Nhóm I), và P5 (Nhóm III) cung cấp neo đậu cross-context đã được xác nhận bởi pooled 49-economy results.</w:t>
      </w:r>
    </w:p>
    <w:p>
      <w:pPr>
        <w:pStyle w:val="BodyText"/>
      </w:pPr>
      <w:r>
        <w:rPr>
          <w:bCs/>
          <w:b/>
        </w:rPr>
        <w:t xml:space="preserve">Hướng 3 — P8: SIDS Thái Bình Dương, gánh nặng tắt buộc (World Development, under revision):</w:t>
      </w:r>
      <w:r>
        <w:t xml:space="preserve"> </w:t>
      </w:r>
      <w:r>
        <w:t xml:space="preserve">P8 đã hoàn thành với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tức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với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2026-05-22T18:42:27Z</dcterms:created>
  <dcterms:modified xsi:type="dcterms:W3CDTF">2026-05-22T18:42:27Z</dcterms:modified>
</cp:coreProperties>
</file>

<file path=docProps/custom.xml><?xml version="1.0" encoding="utf-8"?>
<Properties xmlns="http://schemas.openxmlformats.org/officeDocument/2006/custom-properties" xmlns:vt="http://schemas.openxmlformats.org/officeDocument/2006/docPropsVTypes"/>
</file>