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hình chữ U ngược giữa cường độ xuất khẩu (Foreign Sales to Total Sales — FSTS) và hiệu quả doanh nghiệp tư nhân Trung Quốc là bền vững về cấu trúc hay đặc thù theo đợt khảo sát, đồng thời kiểm định vai trò của Chỉ số năng lực công nghệ (Technological Capability Index — TCI_full) trong việc định hình mối quan hệ này qua một thập kỷ thay đổi cấu trúc.</w:t>
      </w:r>
    </w:p>
    <w:p>
      <w:pPr>
        <w:pStyle w:val="BodyText"/>
      </w:pPr>
      <w:r>
        <w:rPr>
          <w:bCs/>
          <w:b/>
        </w:rPr>
        <w:t xml:space="preserve">Thiết kế/Phương pháp/Cách tiếp cận</w:t>
      </w:r>
      <w:r>
        <w:t xml:space="preserve"> </w:t>
      </w:r>
      <w:r>
        <w:t xml:space="preserve">— Dữ liệu vi mô Khảo sát Doanh nghiệp Ngân hàng Thế giới (World Bank Enterprise Survey —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w:t>
      </w:r>
      <w:r>
        <w:t xml:space="preserve">— Các điểm ngưỡng nằm trong một khoảng rất chặt (49,4% năm 2012, 47,2% năm 2024, 48,8% mẫu gộp) với khoảng tin cậy 95% chồng lấn. Kiểm định Paternoster (1998) không bác bỏ sự bằng nhau của hệ số xuyên đợt (FSTS z = +0,82, p = ,412; FSTS² z = −0,61, p = ,545), ủng hộ H2b (độ bền cấu trúc, structural durability) thay vì H2a (dịch chuyển môi trường, environmental shift). Chỉ số năng lực công nghệ liên quan vững chắc với năng suất ở cả hai đợt (β_z = +0,28 năm 2012, +0,43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văn liệu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49,4%) và 2024 (điểm ngưỡng 47,2%),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+0,82, p = ,412; FSTS² z = −0,61,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+0,28 năm 2012 và +0,43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văn liệu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6"/>
    <w:bookmarkStart w:id="33" w:name="Xc948a667d59efd33f3b5fae659341d5c8fb2e03"/>
    <w:p>
      <w:pPr>
        <w:pStyle w:val="Heading2"/>
      </w:pPr>
      <w:r>
        <w:t xml:space="preserve">2. Lý thuyết và giả thuyết</w:t>
      </w:r>
    </w:p>
    <w:bookmarkStart w:id="27" w:name="X215429a7f382514a9e68578f4301b6f275e42aa"/>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sao cho mối quan hệ FSTS–lnLP tuân theo dạng hình chữ U ngược (bậc hai) trước khi cường độ xuất khẩu vượt qua điểm tối ưu chi phí-lợi ích.</w:t>
      </w:r>
    </w:p>
    <w:bookmarkEnd w:id="27"/>
    <w:bookmarkStart w:id="28" w:name="X8df4fae403f1324e85dd01341561bd129beba6c"/>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 "đặc thù theo đợt" (H2a).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vì các cú sốc cấu trúc như ma sát thương mại, tái định hướng Sáng kiến Vành đai và Con đường, và COVID-19 làm thay đổi phép tính chi phí-lợi ích của quốc tế hóa (Hitt et al., 1997; Xiao et al., 2013),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vì sức căng cơ bản giữa lợi ích học hỏi qua xuất khẩu và leo thang chi phí phối hợp gắn với các ràng buộc nguồn lực ở cấp doanh nghiệp thay vì với môi trường vĩ mô (Bausch và Krist, 2007; Marano et al., 2016), sao cho điểm ngưỡng vẫn nằm trong một dải ổn định bất kể đợt khảo sát (dự đoán độ bền cấu trúc).</w:t>
      </w:r>
    </w:p>
    <w:bookmarkEnd w:id="28"/>
    <w:bookmarkStart w:id="32" w:name="Xf5c766007732fffd608cc4f36e810e3ce141705"/>
    <w:p>
      <w:pPr>
        <w:pStyle w:val="Heading3"/>
      </w:pPr>
      <w:r>
        <w:t xml:space="preserve">2.3 Năng lực công nghệ là biến điều tiết</w:t>
      </w:r>
    </w:p>
    <w:p>
      <w:pPr>
        <w:pStyle w:val="FirstParagraph"/>
      </w:pPr>
      <w:r>
        <w:t xml:space="preserve">Lý thuyết năng lực động (Teece, 2007) và văn liệu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vì các năng lực nội tại vượt trội giảm thiểu chi phí phối hợp thường cắt giảm lợi tức ở mức cường độ xuất khẩu trung bình (Teece, 2007; Lall, 1992),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vì năng lực có thể mở rộng hoặc giảm nhẹ lợi tức học hỏi qua xuất khẩu tùy thuộc vào mức năng lực hấp thụ của từng doanh nghiệp (Lall, 1992; Avenyo et al., 2021),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vì năng lực vận hành chủ yếu như một dịch chuyển mức nền của năng suất thay vì như một điều tiết độ cong (Avenyo et al., 2021), sao cho cả vị trí điểm ngưỡng lẫn các hệ số độ dốc không biến thiên có hệ thống theo TCI_full trong bất kỳ đợt hoặc mô hình gộp nào.</w:t>
      </w:r>
    </w:p>
    <w:p>
      <w:pPr>
        <w:pStyle w:val="FirstParagraph"/>
      </w:pPr>
      <w:r>
        <w:drawing>
          <wp:inline>
            <wp:extent cx="5753100" cy="3764110"/>
            <wp:effectExtent b="0" l="0" r="0" t="0"/>
            <wp:docPr descr="Hình 1: Mô hình khái niệm"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Mục 4.5.</w:t>
      </w:r>
    </w:p>
    <w:p>
      <w:r>
        <w:pict>
          <v:rect style="width:0;height:1.5pt" o:hralign="center" o:hrstd="t" o:hr="t"/>
        </w:pict>
      </w:r>
    </w:p>
    <w:bookmarkEnd w:id="32"/>
    <w:bookmarkEnd w:id="33"/>
    <w:bookmarkStart w:id="37" w:name="X04a517dd5a14ea73a401e4e8e76b17647fe8cfb"/>
    <w:p>
      <w:pPr>
        <w:pStyle w:val="Heading2"/>
      </w:pPr>
      <w:r>
        <w:t xml:space="preserve">3. Dữ liệu và phương pháp</w:t>
      </w:r>
    </w:p>
    <w:bookmarkStart w:id="34" w:name="X0aa05548ddcdf9b9d1d174c8c53d893d3ea66b1"/>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WBES 2024 ưu tiên SME chế tạo tư nhân,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Mục 4.6.</w:t>
      </w:r>
    </w:p>
    <w:p>
      <w:pPr>
        <w:pStyle w:val="BodyText"/>
      </w:pPr>
      <w:r>
        <w:rPr>
          <w:bCs/>
          <w:b/>
        </w:rPr>
        <w:t xml:space="preserve">Ghi chú tái lập.</w:t>
      </w:r>
      <w:r>
        <w:t xml:space="preserve"> </w:t>
      </w:r>
      <w:r>
        <w:t xml:space="preserve">Các mẫu tập trọng tâm,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(49,4% ở 2012, 47,2% ở 2024, 48,8%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(88,6%). Ngược lại, xóa danh sách bao gồm kiểm soát dùng trong các mô hình hồi quy (sample_base: bổ sung yêu cầu lnEmp, firmage, foreigndummy không khuyết) giảm đợt 2024 xuống 1.934 quan sát và mẫu gộp xuống 4.544. Ước lượng điểm ngưỡng (47,2% ở 2024) và kiểm định Paternoster z không thay đổi qua hai định nghĩa mẫu.</w:t>
      </w:r>
    </w:p>
    <w:bookmarkEnd w:id="34"/>
    <w:bookmarkStart w:id="35"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5"/>
    <w:bookmarkStart w:id="36" w:name="X7bb3fee78b87f48d0c2473c5ced53c572ee4cbc"/>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 OLS) với sai số chuẩn vững Eicker–Huber–White (HC1) (MacKinnon và White, 1985), gom cụm theo định danh doanh nghiệp (</w:t>
      </w:r>
      <w:r>
        <w:rPr>
          <w:rStyle w:val="VerbatimChar"/>
        </w:rPr>
        <w:t xml:space="preserve">idstd</w:t>
      </w:r>
      <w:r>
        <w:t xml:space="preserve">) trong đặc tả gộp. Trong số 4.559 quan sát gộp, 217 doanh nghiệp xuất hiện ở cả đợt 2012 và 2024 (nhóm nòng cột panel, panel core), cho phép ước lượng biến thiên trong doanh nghiệp qua sai số chuẩn cụm vững theo định danh doanh nghiệp. Nhóm nòng cột panel này, dù khiêm tốn so với toàn bộ mẫu, cung cấp đòn bẩy nhận dạng bổ sung không có được trong các nghiên cứu đơn đợt.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độ dốc dương có ý nghĩa ở biên trái (FSTS = 0) và độ dốc âm có ý nghĩa ở biên phải (FSTS = 1),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6"/>
    <w:bookmarkEnd w:id="37"/>
    <w:bookmarkStart w:id="53" w:name="Xc1528237297c4ce8999628372a6b48494fd6214"/>
    <w:p>
      <w:pPr>
        <w:pStyle w:val="Heading2"/>
      </w:pPr>
      <w:r>
        <w:t xml:space="preserve">4. Kết quả</w:t>
      </w:r>
    </w:p>
    <w:bookmarkStart w:id="38" w:name="Xc951dcce2c5c6672eadc5b901b983504017f146"/>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12,52 (ĐLC 1,19) và cường độ xuất khẩu trung bình 5,2%, với 19,4% doanh nghiệp báo cáo cường độ xuất khẩu trực tiếp dương. Đợt 2024 (N = 1.934) cho thấy năng suất lao động log trung bình 13,01 (ĐLC 1,35), dịch chuyển mức lên 0,49 đơn vị log, và cường độ xuất khẩu trung bình 3,6%, với 12,4%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xuất khẩu</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(bất kỳ nhà xuất khẩu)</w:t>
            </w:r>
          </w:p>
        </w:tc>
        <w:tc>
          <w:tcPr/>
          <w:p>
            <w:pPr>
              <w:pStyle w:val="Compact"/>
              <w:jc w:val="left"/>
            </w:pPr>
            <w:r>
              <w:t xml:space="preserve">19,4%</w:t>
            </w:r>
          </w:p>
        </w:tc>
        <w:tc>
          <w:tcPr/>
          <w:p>
            <w:pPr>
              <w:pStyle w:val="Compact"/>
              <w:jc w:val="left"/>
            </w:pPr>
            <w:r>
              <w:t xml:space="preserve">12,4%</w:t>
            </w:r>
          </w:p>
        </w:tc>
      </w:tr>
      <w:tr>
        <w:tc>
          <w:tcPr/>
          <w:p>
            <w:pPr>
              <w:pStyle w:val="Compact"/>
              <w:jc w:val="left"/>
            </w:pPr>
            <w:r>
              <w:t xml:space="preserve">lnEmp — log số lao động</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Tuổi doanh nghiệp (năm)</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Sở hữu nước ngoài &gt; 10%</w:t>
            </w:r>
          </w:p>
        </w:tc>
        <w:tc>
          <w:tcPr/>
          <w:p>
            <w:pPr>
              <w:pStyle w:val="Compact"/>
              <w:jc w:val="left"/>
            </w:pPr>
            <w:r>
              <w:t xml:space="preserve">5,8%</w:t>
            </w:r>
          </w:p>
        </w:tc>
        <w:tc>
          <w:tcPr/>
          <w:p>
            <w:pPr>
              <w:pStyle w:val="Compact"/>
              <w:jc w:val="left"/>
            </w:pPr>
            <w:r>
              <w:t xml:space="preserve">3,7%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0,269 ở 2012 và 0,289 ở 2024, cho thấy cường độ có điều kiện cao hơn nhẹ ở 2024 mặc dù tỷ lệ nhà xuất khẩu thấp hơn.</w:t>
      </w:r>
    </w:p>
    <w:bookmarkEnd w:id="38"/>
    <w:bookmarkStart w:id="42" w:name="X6b46af0890ea2b7dda041a3e62d159e03f62e28"/>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+1,28, SE = 0,38, p = ,001; 2024: β = +1,19, SE = 0,46, p = ,010), và FSTS² mang hệ số âm ở cả hai đợt (2012: β = −1,53, SE = 0,42, p &lt; ,001; 2024: β = −1,58, SE = 0,50,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+1,28 (p = ,001), xác nhận sườn đi lên dương; (C2) β₂ = −1,53 (p &lt; ,001), xác nhận tính lõm; (C3) điểm ngưỡng TP* = 49,4%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+1,19, β₂ = −1,58, TP* = 47,2%, LM p &lt; ,001) và đặc tả gộp.</w:t>
      </w:r>
    </w:p>
    <w:p>
      <w:pPr>
        <w:pStyle w:val="BodyText"/>
      </w:pPr>
      <w:r>
        <w:t xml:space="preserve">Ước lượng điểm ngưỡng là 49,4% (KTC 95%: 43,1–55,7%) ở 2012 và 47,2% (KTC 95%: 40,8–53,6%) ở 2024. Các KTC chồng lấn đáng kể, nhất quán với ổn định theo thời gian. Sự bằng nhau của hệ số FSTS xuyên đợt không bị bác bỏ (Paternoster z = +0,82, p = ,412), tương tự cho FSTS² (z = −0,61,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+0,82, p = ,412) và FSTS² (dịch chuyển β₂: z = −0,61, p = ,545) nhất quán với H2b (độ bền cấu trúc) thay vì H2a (dịch chuyển môi trường), cho thấy cả hệ số tuyến tính lẫn bậc hai đều không khác biệt có ý nghĩa giữa các đợt ở mức 0,05.</w:t>
      </w:r>
    </w:p>
    <w:p>
      <w:pPr>
        <w:pStyle w:val="BodyText"/>
      </w:pPr>
      <w:r>
        <w:t xml:space="preserve">Mô hình gộp (N = 4.544) cho FSTS β = +1,24 (p &lt; ,001) và FSTS² β = −1,55 (p &lt; ,001), với điểm ngưỡng ở 48,8% (KTC 95%: 44,2–53,4%).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Điểm ngưỡng (TP)</w:t>
            </w:r>
          </w:p>
        </w:tc>
        <w:tc>
          <w:tcPr/>
          <w:p>
            <w:pPr>
              <w:pStyle w:val="Compact"/>
              <w:jc w:val="left"/>
            </w:pPr>
            <w:r>
              <w:rPr>
                <w:bCs/>
                <w:b/>
              </w:rPr>
              <w:t xml:space="preserve">49,4%</w:t>
            </w:r>
          </w:p>
        </w:tc>
        <w:tc>
          <w:tcPr/>
          <w:p>
            <w:pPr>
              <w:pStyle w:val="Compact"/>
              <w:jc w:val="left"/>
            </w:pPr>
            <w:r>
              <w:rPr>
                <w:bCs/>
                <w:b/>
              </w:rPr>
              <w:t xml:space="preserve">47,2%</w:t>
            </w:r>
          </w:p>
        </w:tc>
        <w:tc>
          <w:tcPr/>
          <w:p>
            <w:pPr>
              <w:pStyle w:val="Compact"/>
              <w:jc w:val="left"/>
            </w:pPr>
            <w:r>
              <w:rPr>
                <w:bCs/>
                <w:b/>
              </w:rPr>
              <w:t xml:space="preserve">48,8%</w:t>
            </w:r>
          </w:p>
        </w:tc>
      </w:tr>
      <w:tr>
        <w:tc>
          <w:tcPr/>
          <w:p>
            <w:pPr>
              <w:pStyle w:val="Compact"/>
              <w:jc w:val="left"/>
            </w:pPr>
            <w:r>
              <w:t xml:space="preserve">KTC 95% (phương pháp delta)</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Thống kê F</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Hệ số với sai số chuẩn vững HC1 trong ngoặc đơn. * p &lt; ,05; ** p &lt; ,01; *** p &lt; ,001.</w:t>
      </w:r>
      <w:r>
        <w:t xml:space="preserve"> </w:t>
      </w:r>
      <w:r>
        <w:t xml:space="preserve">KIỂM ĐỊNH PATERNOSTER (FSTS): z = +0,82, p = ,412; (FSTS²): z = −0,61, p = ,545.</w:t>
      </w:r>
    </w:p>
    <w:p>
      <w:pPr>
        <w:pStyle w:val="BodyText"/>
      </w:pPr>
      <w:r>
        <w:drawing>
          <wp:inline>
            <wp:extent cx="5753100" cy="3010157"/>
            <wp:effectExtent b="0" l="0" r="0" t="0"/>
            <wp:docPr descr="Hình 2: Ước lượng điểm ngưỡng với KTC 95% theo đợt (Trung Quốc)"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Hình 2.</w:t>
      </w:r>
      <w:r>
        <w:t xml:space="preserve"> </w:t>
      </w:r>
      <w:r>
        <w:t xml:space="preserve">Khoảng tin cậy 95% bằng phương pháp delta cho ước lượng điểm ngưỡng ở 2012 (49,4%) và 2024 (47,2%). Sự chồng lấn đáng kể nhất quán với độ bền cấu trúc (H2b).</w:t>
      </w:r>
    </w:p>
    <w:bookmarkEnd w:id="42"/>
    <w:bookmarkStart w:id="46" w:name="Xca6923ad83b92fe1c4200a502dca99be007f5b1"/>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0,49 đơn vị log (mức bù năng suất theo đợt). Mô hình trực quan này corroborate kết quả kiểm định Paternoster: độ cong ổn định nhưng mức nền đã dịch chuyển.</w:t>
      </w:r>
    </w:p>
    <w:p>
      <w:pPr>
        <w:pStyle w:val="BodyText"/>
      </w:pPr>
      <w:r>
        <w:drawing>
          <wp:inline>
            <wp:extent cx="5753100" cy="3330862"/>
            <wp:effectExtent b="0" l="0" r="0" t="0"/>
            <wp:docPr descr="Hình 3: Đường cong I–P dự báo theo đợt (Trung Quốc)"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46"/>
    <w:bookmarkStart w:id="50" w:name="X51689d4a0c5ee2b92541dbb1adcf5a76c1d9d39"/>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2,24, p = ,107 (KHÔNG bác bỏ ở α = ,05); F2 (điều tiết theo năng lực trong cùng đợt) = 3,26, p = ,039 (ở biên, không vượt qua hiệu chỉnh Bonferroni ở α* = ,017); F3 (dịch chuyển xuyên đợt có điều kiện theo năng lực) = 0,27,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+0,28 ở 2012, p &lt; ,001; +0,43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BodyText"/>
      </w:pPr>
      <w:r>
        <w:drawing>
          <wp:inline>
            <wp:extent cx="5753100" cy="2591800"/>
            <wp:effectExtent b="0" l="0" r="0" t="0"/>
            <wp:docPr descr="Hình 4: Hệ số hiệu ứng trực tiếp TCI và DAI theo đợt (Trung Quốc, OLS chuẩn hóa)"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50"/>
    <w:bookmarkStart w:id="51" w:name="X6459ad396d8080658aa9206c5a3da362fefc57b"/>
    <w:p>
      <w:pPr>
        <w:pStyle w:val="Heading3"/>
      </w:pPr>
      <w:r>
        <w:t xml:space="preserve">4.5 Phân tích cơ chế: áp dụng số</w:t>
      </w:r>
    </w:p>
    <w:p>
      <w:pPr>
        <w:pStyle w:val="FirstParagraph"/>
      </w:pPr>
      <w:r>
        <w:t xml:space="preserve">DAI_core (own-website) dương và có ý nghĩa ở cả hai đợt (β_z ≈ +0,10 ở 2012, p = ,002; +0,12 ở 2024, p &lt; ,001) khi được đưa vào như biến kiểm soát trong M2. Một mô hình khám phá cơ chế riêng biệt (M7) kiểm định liệu DAI_core có trung gian cho mối quan hệ TCI_full → lnLP qua con đường trung gian tuần tự (TCI_full → DAI_core → lnLP). Ước lượng hiệu ứng gián tiếp bootstrap (n = 1.000 lần rút) cho hiệu ứng gián tiếp nhỏ nhưng dương (2012: +0,018, KTC 95% [0,004; 0,039]; 2024: +0,022, KTC 95% [0,007; 0,043]), nhất quán với đọc trung gian một phần. Tuy nhiên, vì DAI_core là biến đại diện nhị phân đơn lẻ và vì WBES không cho phép quy nhân quả, phân tích này mang tính khám phá và được báo cáo như "phác thảo cơ chế mô tả" thay vì tuyên bố nhận dạng nhân quả (Antonakis et al., 2010; Shaver, 2020).</w:t>
      </w:r>
    </w:p>
    <w:bookmarkEnd w:id="51"/>
    <w:bookmarkStart w:id="52" w:name="Xed3b3362c25fdc23216d53b9f0c5e3a8e8c8f35"/>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48,1% (2012) và 46,4% (2024), nằm trong khoảng tin cậy của ước lượng mẫu đầy đủ. Kiểm định Paternoster z vẫn không có ý nghĩa (FSTS z = +0,61, p = ,542; FSTS² z = −0,44,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47,9% ở 2012 và 45,7%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44,8% đến 51,3%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2"/>
    <w:bookmarkEnd w:id="53"/>
    <w:bookmarkStart w:id="59" w:name="X3923f9545aa9c992e02ccb4472a40e02686b4e2"/>
    <w:p>
      <w:pPr>
        <w:pStyle w:val="Heading2"/>
      </w:pPr>
      <w:r>
        <w:t xml:space="preserve">5. Thảo luận</w:t>
      </w:r>
    </w:p>
    <w:bookmarkStart w:id="54" w:name="Xe3784b91fbbb98e2d7d5ec0fa062dd2434123cf"/>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49,4% (2012) và 47,2% (2024) không thể phân biệt về mặt thống kê qua kiểm định Paternoster, và ước lượng gộp (48,8%) nằm trong khoảng tin cậy cả hai đợt. Độ bền này đáng chú ý khi xét quy mô thay đổi cấu trúc giữa hai đợt khảo sát — tái định hướng sáng kiến Vành đai và Con đường, ma sát thương mại, COVID-19 —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54"/>
    <w:bookmarkStart w:id="55" w:name="X078b2cff9945407c71a98c65f521221b353ba25"/>
    <w:p>
      <w:pPr>
        <w:pStyle w:val="Heading3"/>
      </w:pPr>
      <w:r>
        <w:t xml:space="preserve">5.2 Năng lực công nghệ như dịch chuyển mức nền</w:t>
      </w:r>
    </w:p>
    <w:p>
      <w:pPr>
        <w:pStyle w:val="FirstParagraph"/>
      </w:pPr>
      <w:r>
        <w:t xml:space="preserve">Kết quả null về điều tiết — F2 = 3,26, p = ,039, không vượt qua hiệu chỉnh Bonferroni ở α* = ,017, nhất quán với H4b — có cách diễn giải chính xác: TCI_full nâng giá trị chặn năng suất ở cả hai đợt (β_z = +0,28 ở 2012, +0,43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 "dịch chuyển mức nền": năng lực nâng hiệu quả ở mọi mức cường độ xuất khẩu nhưng không cho phép doanh nghiệp vượt qua ngưỡng một cách an toàn. Sự tăng cường hiệu ứng trực tiếp từ +0,28 lên +0,43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5"/>
    <w:bookmarkStart w:id="56" w:name="X07c9ef6e0e03d221deb57e5da9afdeaf67834f0"/>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(Mục 4.5) gợi ý con đường trung gian một phần (TCI → DAI →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6"/>
    <w:bookmarkStart w:id="57" w:name="Xfc1c5e78a7e080089faa2d1cfebca876605dbb8"/>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(Mục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7"/>
    <w:bookmarkStart w:id="58" w:name="X918fceac96b21b03cbe8deeeb6ba09f15819c49"/>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8"/>
    <w:bookmarkEnd w:id="59"/>
    <w:bookmarkStart w:id="60" w:name="Xb6340858ada32986909ac4c0a6855391782490d"/>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(49,4% và 47,2%) không thể phân biệt về mặt thống kê qua các đợt (kiểm định Paternoster z: FSTS z = +0,82, p = ,412; FSTS² z = −0,61, p = ,545), ủng hộ H2b (độ bền cấu trúc). Năng lực công nghệ là dịch chuyển mức nền dương vững chắc của năng suất (β_z = +0,28 ở 2012, +0,43 ở 2024; cả hai p &lt; ,001) nhưng không điều tiết có ý nghĩa thống kê độ cong hình chữ U ngược (F2 = 3,26,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60"/>
    <w:bookmarkStart w:id="62" w:name="lời-cảm-ơn"/>
    <w:p>
      <w:pPr>
        <w:pStyle w:val="Heading2"/>
      </w:pPr>
      <w:r>
        <w:t xml:space="preserve">Lời cảm ơn</w:t>
      </w:r>
    </w:p>
    <w:p>
      <w:pPr>
        <w:pStyle w:val="FirstParagraph"/>
      </w:pPr>
      <w:r>
        <w:t xml:space="preserve">Nguồn: Khảo sát Doanh nghiệp Ngân hàng Thế giới,</w:t>
      </w:r>
      <w:r>
        <w:t xml:space="preserve"> </w:t>
      </w:r>
      <w:hyperlink r:id="rId61">
        <w:r>
          <w:rPr>
            <w:rStyle w:val="Hyperlink"/>
          </w:rPr>
          <w:t xml:space="preserve">www.enterprisesurveys.org</w:t>
        </w:r>
      </w:hyperlink>
      <w:r>
        <w:t xml:space="preserve">.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62"/>
    <w:bookmarkStart w:id="64"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w:t>
      </w:r>
      <w:r>
        <w:t xml:space="preserve"> </w:t>
      </w:r>
      <w:hyperlink r:id="rId63">
        <w:r>
          <w:rPr>
            <w:rStyle w:val="Hyperlink"/>
          </w:rPr>
          <w:t xml:space="preserve">https://www.enterprisesurveys.org</w:t>
        </w:r>
      </w:hyperlink>
      <w:r>
        <w:t xml:space="preserve">. Mã xây dựng biến và tập dữ liệu đã xử lý có sẵn từ tác giả liên hệ theo yêu cầu hợp lý.</w:t>
      </w:r>
    </w:p>
    <w:bookmarkEnd w:id="64"/>
    <w:bookmarkStart w:id="65"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văn liệu, phân tích dữ liệu hay tạo nội dung bản thảo.</w:t>
      </w:r>
    </w:p>
    <w:p>
      <w:r>
        <w:pict>
          <v:rect style="width:0;height:1.5pt" o:hralign="center" o:hrstd="t" o:hr="t"/>
        </w:pict>
      </w:r>
    </w:p>
    <w:bookmarkEnd w:id="65"/>
    <w:bookmarkStart w:id="9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9">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0">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1">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2">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6">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7">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9">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0">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1">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2">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3">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4">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5">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6">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7">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8">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9">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0">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1">
        <w:r>
          <w:rPr>
            <w:rStyle w:val="Hyperlink"/>
          </w:rPr>
          <w:t xml:space="preserve">https://doi.org/10.1016/j.intman.2012.12.003</w:t>
        </w:r>
      </w:hyperlink>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92"/>
    <w:bookmarkEnd w:id="9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2026-05-22T18:42:22Z</dcterms:created>
  <dcterms:modified xsi:type="dcterms:W3CDTF">2026-05-22T18:42:22Z</dcterms:modified>
</cp:coreProperties>
</file>

<file path=docProps/custom.xml><?xml version="1.0" encoding="utf-8"?>
<Properties xmlns="http://schemas.openxmlformats.org/officeDocument/2006/custom-properties" xmlns:vt="http://schemas.openxmlformats.org/officeDocument/2006/docPropsVTypes"/>
</file>