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Xf24ec467481d62a742d363f12c684976d74bdf7"/>
    <w:p>
      <w:pPr>
        <w:pStyle w:val="Heading1"/>
      </w:pPr>
      <w:r>
        <w:t xml:space="preserve">Internationalization and Firm Performance across 49 Asian and Pacific Economies: Institutional Regimes, Digital Capabilities, and Managerial Characteristics as Contingency Factors</w:t>
      </w:r>
    </w:p>
    <w:p>
      <w:pPr>
        <w:pStyle w:val="FirstParagraph"/>
      </w:pPr>
      <w:r>
        <w:rPr>
          <w:bCs/>
          <w:b/>
        </w:rPr>
        <w:t xml:space="preserve">Version:</w:t>
      </w:r>
      <w:r>
        <w:t xml:space="preserve"> </w:t>
      </w:r>
      <w:r>
        <w:t xml:space="preserve">Working manuscript (May 2026)</w:t>
      </w:r>
      <w:r>
        <w:br/>
      </w:r>
      <w:r>
        <w:rPr>
          <w:bCs/>
          <w:b/>
        </w:rPr>
        <w:t xml:space="preserve">Target journal:</w:t>
      </w:r>
      <w:r>
        <w:t xml:space="preserve"> </w:t>
      </w:r>
      <w:r>
        <w:t xml:space="preserve">Journal of International Business Studies (JIBS)</w:t>
      </w:r>
      <w:r>
        <w:br/>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t xml:space="preserve">We examine whether the internationalization–performance (I–P) relationship holds across a large and institutionally diverse set of Asian and Pacific economies and identify the conditions under which firms convert export intensity into productive performance. Using microdata from 91,982 firms across 49 economies and 102 country-year waves of the World Bank Enterprise Survey (2003–2025), spanning all six Institutional Capability and Resource Vulnerability (ICRV) regime groups, we estimate a hierarchical set of OLS models with HC1 robust standard errors. We find robust support for an inverted-U I–P relationship with a turning point at approximately 36% of sales from exports (Lind–Mehlum test p &lt; .001; confirmed in M11 at TP=34.6%, p=.002). Technological capability (TCI) raises the performance level without reliably reshaping the curve. Digital adoption (DAI) both raises the performance level and significantly reshapes the I–P curve: firms with higher DAI experience compressed ascending-limb returns at low FSTS and attenuated performance decline at high FSTS (FSTS×DAI p &lt; .01; FSTS²×DAI p &lt; .01 in M8–M9). Institutional regime (ICRV) moderates both slope and curvature. Managerial experience and female top management improve performance; experience additionally moderates the curve shape in the full specification. These findings offer a parsimonious resolution to Asian I–P heterogeneity: the relationship is universally inverted-U, but regime quality and digital capability jointly determine where the turning point falls.</w:t>
      </w:r>
    </w:p>
    <w:p>
      <w:pPr>
        <w:pStyle w:val="BodyText"/>
      </w:pPr>
      <w:r>
        <w:rPr>
          <w:bCs/>
          <w:b/>
        </w:rPr>
        <w:t xml:space="preserve">Keywords:</w:t>
      </w:r>
      <w:r>
        <w:t xml:space="preserve"> </w:t>
      </w:r>
      <w:r>
        <w:t xml:space="preserve">internationalization–performance; inverted-U; institutional regime; digital capability; Asia-Pacific; World Bank Enterprise Surveys</w:t>
      </w:r>
    </w:p>
    <w:p>
      <w:pPr>
        <w:pStyle w:val="BodyText"/>
      </w:pPr>
      <w:r>
        <w:rPr>
          <w:bCs/>
          <w:b/>
        </w:rPr>
        <w:t xml:space="preserve">JEL Classification:</w:t>
      </w:r>
      <w:r>
        <w:t xml:space="preserve"> </w:t>
      </w:r>
      <w:r>
        <w:t xml:space="preserve">F23; O33; D22; L25; O53.</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A central question in international business research concerns whether and how export internationalization translates into firm performance (Lu &amp; Beamish, 2004; Johanson &amp; Vahlne, 2009). Meta-analyses document a mean correlation of approximately r = .07 across several thousand studies (Bausch &amp; Krist, 2007; Kirca et al., 2012; Marano et al., 2016), yet the variance across studies vastly exceeds what sampling error can explain. In Asia, a region that accounts for over half of global manufacturing exports (UNCTAD, 2023), the evidence is especially fragmented: prior studies report positive relationships (Pangarkar, 2008; Korea), inverted-U curves (Chiao et al., 2006; Taiwan), or null and negative effects (Mondal et al., 2022; India). The standard explanation invokes context as a moderator (Marano et al., 2016; Kirca et al., 2012), but empirical tests simultaneously across institutionally diverse Asian economies remain rare.</w:t>
      </w:r>
    </w:p>
    <w:p>
      <w:pPr>
        <w:pStyle w:val="BodyText"/>
      </w:pPr>
      <w:r>
        <w:t xml:space="preserve">This paper addresses that gap. We pool 91,982 firm-observations from 49 Asian and Pacific economies spanning 2003–2025, harmonised from the World Bank Enterprise Survey (WBES). Our sample spans all six ICRV regime groups. These range from advanced innovation-driven economies (Singapore, Korea, Taiwan, HongKong, Israel, Cyprus) to Pacific Small Island Developing States (Vanuatu, Solomon Islands, Fiji, Tonga, Samoa, Kiribati, Papua New Guinea, Timor-Leste) and Gulf advanced-resource economies (Bahrain, Kuwait, Qatar, Brunei, Saudi Arabia, Oman). The economies are classified through the Institutional Capability and Resource Vulnerability (ICRV) framework that anchors the broader dissertation programme of which this study is part.</w:t>
      </w:r>
    </w:p>
    <w:p>
      <w:pPr>
        <w:pStyle w:val="BodyText"/>
      </w:pPr>
      <w:r>
        <w:t xml:space="preserve">Our contributions are threefold. First, we provide the largest WBES-based test of the inverted-U I–P hypothesis in Asia, confirming a turning point at approximately 36% foreign sales intensity across all specifications (N = 84,910–29,840), robust even in the full three-way moderation model (M11: TP=34.6%, LM p=.002). Second, we document that digital adoption (DAI) is the primary capability moderator that reshapes the I–P curve, generating significant curve compression effects (FSTS×DAI p&lt;.001) that emerge even without controlling for manager characteristics. Technological capability (TCI) raises the performance level but does not reliably reshape the ascending limb across this sample. Third, we document that institutional regime (ICRV group) systematically moderates both the slope and curvature of the I–P function, with DAI×ICRV interactions (p=.012) indicating that digital capabilities deliver stronger per-unit performance returns in weaker institutional environments.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9" w:name="Xce0b9068aa677089fdc23e66f61b75516af2bf7"/>
    <w:p>
      <w:pPr>
        <w:pStyle w:val="Heading2"/>
      </w:pPr>
      <w:r>
        <w:t xml:space="preserve">2. Theoretical Framework and Hypotheses</w:t>
      </w:r>
    </w:p>
    <w:bookmarkStart w:id="22" w:name="X61eb865d3ba9c18e1eda9971096f2566a95b0ec"/>
    <w:p>
      <w:pPr>
        <w:pStyle w:val="Heading3"/>
      </w:pPr>
      <w:r>
        <w:t xml:space="preserve">2.1 Theoretical Foundations</w:t>
      </w:r>
    </w:p>
    <w:p>
      <w:pPr>
        <w:pStyle w:val="FirstParagraph"/>
      </w:pPr>
      <w:r>
        <w:t xml:space="preserve">We draw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technological, digital, and managerial,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w:t>
      </w:r>
    </w:p>
    <w:bookmarkEnd w:id="22"/>
    <w:bookmarkStart w:id="23" w:name="Xf68c2510db72354551e5b442c06e6149a212286"/>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(~88.6%),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804c25e8bdbf8eade8cd93fdb8dbf851f3c8515"/>
    <w:p>
      <w:pPr>
        <w:pStyle w:val="Heading3"/>
      </w:pPr>
      <w:r>
        <w:t xml:space="preserve">2.3 Technological Capability as a Curve Amplifier (H2)</w:t>
      </w:r>
    </w:p>
    <w:p>
      <w:pPr>
        <w:pStyle w:val="FirstParagraph"/>
      </w:pPr>
      <w:r>
        <w:t xml:space="preserve">Technological capability, operationalised as a composite of quality certification, foreign-technology adoption, process innovation, and R&amp;D,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Xf9645264d48ebb644ff7e280396113254c384c7"/>
    <w:p>
      <w:pPr>
        <w:pStyle w:val="Heading3"/>
      </w:pPr>
      <w:r>
        <w:t xml:space="preserve">2.4 Digital Adoption as a Level Enhancer (H3)</w:t>
      </w:r>
    </w:p>
    <w:p>
      <w:pPr>
        <w:pStyle w:val="FirstParagraph"/>
      </w:pPr>
      <w:r>
        <w:t xml:space="preserve">Digital adoption, measured through website presence and electronic-payment share, has been associated with reduced communication and transaction costs (Verhoef et al., 2021). In the CDCM (Context-Contingent Digital Capability Model) developed in the dissertation, DAI's effect depends on the interaction of regime quality, FSTS level, and digital market saturation (Đỗ &amp; Phan,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broadly across the sample (level effect). In a fully specified model that also accounts for managerial quality, which correlates with digital adoption,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Xfde2382d547d6bd016a370b8abd9bb51c6ab875"/>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c04b0d08a7461e173e211ec4b938149d2f7c8bf"/>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We operationalise institutional regime through the ICRV classification system developed in the dissertation: six groups ranging from Group I (Advanced innovation-driven: Singapore, Korea, Taiwan, Israel, Cyprus)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bookmarkEnd w:id="27"/>
    <w:bookmarkStart w:id="28" w:name="X0acb0ebe9609c9b4cd27b2f0dbe81194406b82a"/>
    <w:p>
      <w:pPr>
        <w:pStyle w:val="Heading3"/>
      </w:pPr>
      <w:r>
        <w:t xml:space="preserve">2.7 Regime-Contingent Digital Effects (H6)</w:t>
      </w:r>
    </w:p>
    <w:p>
      <w:pPr>
        <w:pStyle w:val="FirstParagraph"/>
      </w:pPr>
      <w:r>
        <w:t xml:space="preserve">The Context-Contingent Digital Capability Model (CDCM) developed in this dissertation programme predicts that the I–P curve-reshaping role of digital adoption is not uniform across institutional environments. In institutionally advanced economies (ICRV Group I–II), digital infrastructure is near-universal and close to the competitive baseline,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The DAI×ICRV interaction therefore tests whether digital capabilities' curve-reshaping potency (established in H3) varies systematically across the institutional spectrum, specifically, whether compressing the ascending limb and buffering performance decline at high FSTS are more pronounced in weaker-institution economies.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r>
        <w:pict>
          <v:rect style="width:0;height:1.5pt" o:hralign="center" o:hrstd="t" o:hr="t"/>
        </w:pict>
      </w:r>
    </w:p>
    <w:bookmarkEnd w:id="28"/>
    <w:bookmarkEnd w:id="29"/>
    <w:bookmarkStart w:id="34" w:name="X5eb800a903106e48a684e9ea9de39ed619b9df8"/>
    <w:p>
      <w:pPr>
        <w:pStyle w:val="Heading2"/>
      </w:pPr>
      <w:r>
        <w:t xml:space="preserve">3. Data and Methods</w:t>
      </w:r>
    </w:p>
    <w:bookmarkStart w:id="30" w:name="X180323993af082d7b264d69830cacecf330a102"/>
    <w:p>
      <w:pPr>
        <w:pStyle w:val="Heading3"/>
      </w:pPr>
      <w:r>
        <w:t xml:space="preserve">3.1 Data Source</w:t>
      </w:r>
    </w:p>
    <w:p>
      <w:pPr>
        <w:pStyle w:val="FirstParagraph"/>
      </w:pPr>
      <w:r>
        <w:t xml:space="preserve">Data derive from the World Bank Enterprise Surveys (WBES), a stratified random-sample survey of formal private-sector enterprises conducted periodically across over 130 countries. We use microdata from 49 Asian and Pacific economies across 102 country-year waves spanning 2003–2025. This coverage encompasses six UN M.49 Asian sub-regions. East Asia includes China, HongKong, Korea, Mongolia, and Taiwan. Southeast Asia includes Brunei, Cambodia, Indonesia, Laos, Malaysia, Myanmar, Philippines, Singapore, Thailand, Timor-Leste, Vietnam), South Asia (Afghanistan, Bangladesh, Bhutan, India, Maldives, Nepal, Pakistan, Sri Lanka), Central Asia (Kazakhstan, Kyrgyz Republic, Tajikistan, Turkmenistan, Uzbekistan), West Asia (Armenia, Bahrain, Cyprus, Iraq, Israel, Jordan, Kuwait, Lebanon, Oman, Qatar, Saudi Arabia, Yemen), and Pacific/SIDS (Fiji, Kiribati, Papua New Guinea, Samoa, Solomon Islands, Tonga, Vanuatu).</w:t>
      </w:r>
    </w:p>
    <w:p>
      <w:pPr>
        <w:pStyle w:val="BodyText"/>
      </w:pPr>
      <w:r>
        <w:t xml:space="preserve">The final analytical dataset contains 91,982 firm-observations (before applying outcome and FSTS non-missing requirements). Oman's available data (2003 vintage) predates the digital-capability variables used in M6–M11; it contributes to M2 but drops from M3+ due to missing controls.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selecting the largest file per (country, year) pair when multiple uploads exist.</w:t>
      </w:r>
    </w:p>
    <w:bookmarkEnd w:id="30"/>
    <w:bookmarkStart w:id="31" w:name="Xbcf9f12e79107fa2c089aaf13fc6c4fb773f1c2"/>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(fsts_c); the quadratic term fsts_c² is computed from the centred value.</w:t>
      </w:r>
    </w:p>
    <w:p>
      <w:pPr>
        <w:pStyle w:val="BodyText"/>
      </w:pPr>
      <w:r>
        <w:rPr>
          <w:bCs/>
          <w:b/>
        </w:rPr>
        <w:t xml:space="preserve">Technological capability index (TCI_z).</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(DAI_z).</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1"/>
    <w:bookmarkStart w:id="32" w:name="X88d3b635b18ee197bee6ec760e4576787847be1"/>
    <w:p>
      <w:pPr>
        <w:pStyle w:val="Heading3"/>
      </w:pPr>
      <w:r>
        <w:t xml:space="preserve">3.3 Estimation Strategy</w:t>
      </w:r>
    </w:p>
    <w:p>
      <w:pPr>
        <w:pStyle w:val="FirstParagraph"/>
      </w:pPr>
      <w:r>
        <w:t xml:space="preserve">We estimate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mean(FSTS), where β₁ and β₂ are estimated on the mean-centred FSTS_c scale and the result is expressed as a proportion (0–1) of total sales.</w:t>
      </w:r>
    </w:p>
    <w:p>
      <w:pPr>
        <w:pStyle w:val="BodyText"/>
      </w:pPr>
      <w:r>
        <w:t xml:space="preserve">For moderation tests (M7–M11), we include interaction terms FSTS×moderator and FSTS²×moderator. The joint significance of the two interaction terms is tested with an F-test; we report both the joint p-value and individual coefficient p-values.</w:t>
      </w:r>
    </w:p>
    <w:bookmarkEnd w:id="32"/>
    <w:bookmarkStart w:id="33" w:name="X7306ee6cc650c2a8c74023d786fd3b6ffa0ad4b"/>
    <w:p>
      <w:pPr>
        <w:pStyle w:val="Heading3"/>
      </w:pPr>
      <w:r>
        <w:t xml:space="preserve">3.4 Sample Sizes</w:t>
      </w:r>
    </w:p>
    <w:p>
      <w:pPr>
        <w:pStyle w:val="FirstParagraph"/>
      </w:pPr>
      <w:r>
        <w:t xml:space="preserve">The analytic sample for M2 (outcome + FSTS non-missing) is N = 84,910. Adding controls reduces the sample to N = 38,342 (M3); country-year FE model M5 uses the same sample. TCI-moderation models (M6, M7) use N ≈ 38,051; adding DAI (M8) N ≈ 37,940; manager models (M9) N ≈ 35,568; ICRV-moderation (M10) N ≈ 31,928; full three-way (M11) N ≈ 29,840.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3"/>
    <w:bookmarkEnd w:id="34"/>
    <w:bookmarkStart w:id="42" w:name="X121719332867ee227f0a04b486098cee978c6e6"/>
    <w:p>
      <w:pPr>
        <w:pStyle w:val="Heading2"/>
      </w:pPr>
      <w:r>
        <w:t xml:space="preserve">4. Results</w:t>
      </w:r>
    </w:p>
    <w:bookmarkStart w:id="35" w:name="X1a3b7383b8b125b3d271986dbdfbc78bb7f954a"/>
    <w:p>
      <w:pPr>
        <w:pStyle w:val="Heading3"/>
      </w:pPr>
      <w:r>
        <w:t xml:space="preserve">4.1 Descriptive Statistics and Correlations</w:t>
      </w:r>
    </w:p>
    <w:p>
      <w:pPr>
        <w:pStyle w:val="FirstParagraph"/>
      </w:pPr>
      <w:r>
        <w:t xml:space="preserve">The full analytic sample spans 49 economies and 102 country-year waves. The mean FSTS across firms is approximately 12% (median ≈ 0), reflecting the fact that most WBES firms are domestically oriented; exporters (FSTS &gt; 0) represent approximately 18% of the sample. Labour productivity ranges from ln(LP) ≈ 10 (Tajikistan, Timor-Leste) to ln(LP) ≈ 20 (Vietnam, Indonesia, reflecting PPP-unadjusted nominal sales differences). Pairwise correlations among focal variables are modest (|r| &lt; .15 for all pairs), and variance inflation factors in the full model are below 3.5, ruling out multicollinearity concerns.</w:t>
      </w:r>
    </w:p>
    <w:bookmarkEnd w:id="35"/>
    <w:bookmarkStart w:id="36" w:name="Xdbf83b4a83d0a9c63e43fc4d25cefed1772f7cd"/>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(adjR² = .000). Adding the quadratic term FSTS² (M2) yields β₁ = +1.316 (p &lt; .001) and β₂ = −1.810 (p &lt; .001), consistent with an inverted-U. Following Haans, Pieters, and He (2016), all four formal conditions for a genuine inverted-U are satisfied in M2. (C1) β₁ = +1.316 (p &lt; .001), confirming a positive ascending limb. (C2) β₂ = −1.810 (p &lt; .001), confirming concavity; (C3) the turning point TP* ≈ 36.4% lies well within the observed FSTS range [0%, 100%]; and (C4) the marginal effect of internationalization is positive at the lower data boundary (FSTS ≈ 0%, slope ≈ +1.32) and negative at the upper boundary (FSTS ≈ 100%, slope ≈ −2.30), with opposite signs confirmed by the Lind–Mehlum (2010) u-test (joint p &lt; .001). The inverted-U remains significant when controls are added (M3: TP = 33.8%, LM p &lt; .001) and when country-year fixed effects absorb all unobserved time-varying country heterogeneity (M5: TP = 40.0%, LM p &lt; .001, adjR² = .677). The consistency of the turning point across M2, M3, and M5, ranging from 33.8% to 40.0%, provides strong evidence that the inverted-U is not an artefact of omitted country-level confounders. Crucially, the inverted-U is also confirmed in the full three-way moderation model M11 (TP = 34.6%, LM p = .002),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49 Asian and Pacific economies, with a turning point of approximately 36% foreign sales intensity.</w:t>
      </w:r>
    </w:p>
    <w:bookmarkEnd w:id="36"/>
    <w:bookmarkStart w:id="37" w:name="X9595a9bb339e08d65399a059096afa9ae72a457"/>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+0.321, p &lt; .001) raises adjR² from .015 to .024. The interaction model M7 adds FSTS×TCI and FSTS²×TCI. Results show:</w:t>
      </w:r>
    </w:p>
    <w:p>
      <w:pPr>
        <w:numPr>
          <w:ilvl w:val="0"/>
          <w:numId w:val="1001"/>
        </w:numPr>
        <w:pStyle w:val="Compact"/>
      </w:pPr>
      <w:r>
        <w:t xml:space="preserve">TCI main effect: β = +0.344 (p &lt; .001), higher TCI raises baseline performance</w:t>
      </w:r>
    </w:p>
    <w:p>
      <w:pPr>
        <w:numPr>
          <w:ilvl w:val="0"/>
          <w:numId w:val="1001"/>
        </w:numPr>
        <w:pStyle w:val="Compact"/>
      </w:pPr>
      <w:r>
        <w:t xml:space="preserve">FSTS×TCI: β = −0.144 (NS), the ascending limb interaction is not significant</w:t>
      </w:r>
    </w:p>
    <w:p>
      <w:pPr>
        <w:numPr>
          <w:ilvl w:val="0"/>
          <w:numId w:val="1001"/>
        </w:numPr>
        <w:pStyle w:val="Compact"/>
      </w:pPr>
      <w:r>
        <w:t xml:space="preserve">FSTS²×TCI: β = −0.137 (NS in M7; remains NS in M8, p=.129)</w:t>
      </w:r>
    </w:p>
    <w:p>
      <w:pPr>
        <w:pStyle w:val="FirstParagraph"/>
      </w:pPr>
      <w:r>
        <w:t xml:space="preserve">The joint F-test for the two TCI interaction terms is not significant across M7–M9. The inverted-U remains confirmed in M7 (TP = 33.9%, LM p &lt; .001). A one-SD increase in TCI raises labour productivity by exp(0.344) − 1 ≈ 41% at mean FSTS,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49-economy sample, attenuating individual-country patterns documented in P3/P5.</w:t>
      </w:r>
    </w:p>
    <w:bookmarkEnd w:id="37"/>
    <w:bookmarkStart w:id="38" w:name="X151158cb9bb4ce58412a9381bb2aaa4f708d4d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statistically significant (β = +0.155, p &lt; .001), consistent with approximately a 17% performance premium for digitally active firms (exp(0.155) − 1 ≈ 17%). Strikingly, both DAI interaction terms are statistically significant in M8: FSTS×DAI = −0.614 (p &lt; .001, ***) and FSTS²×DAI = +0.766 (p = .001, **). The interaction pattern (negative FSTS×DAI and positive FSTS²×DAI) means that high-DAI firms experience a flatter and shifted I–P curve. Specifically, they show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 FSTS×DAI = −0.780 (p &lt; .001, ***) and FSTS²×DAI = +0.994 (p &lt; .001, ***). The inverted-U is maintained in both specifications (M8: TP = 33.8%; M9: TP = 36.1%).</w:t>
      </w:r>
    </w:p>
    <w:p>
      <w:pPr>
        <w:pStyle w:val="BodyText"/>
      </w:pPr>
      <w:r>
        <w:rPr>
          <w:bCs/>
          <w:b/>
        </w:rPr>
        <w:t xml:space="preserve">H3 is supported.</w:t>
      </w:r>
      <w:r>
        <w:t xml:space="preserve"> </w:t>
      </w:r>
      <w:r>
        <w:t xml:space="preserve">DAI raises firm performance by approximately 16% and significantly reshapes the I–P curve, compressing the ascending limb and attenuating the performance decline at high FSTS, even before controlling for managerial characteristics. This is the primary capability-moderating finding of the study.</w:t>
      </w:r>
    </w:p>
    <w:bookmarkEnd w:id="38"/>
    <w:bookmarkStart w:id="39" w:name="X8c2848f12d916aaecc7d070f2d4e848d015e61e"/>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+0.007, p = .026) and female top manager (β = +0.185, p &lt; .001) both raise firm performance independently of FSTS in M9. The experience effect implies approximately 0.7% higher labour productivity per additional year of sectoral experience; the female top manager effect implies approximately a 20% performance premium (exp(0.185) − 1 ≈ 20%). The FSTS×manager_experience interaction is not significant in M9 (β = −0.012, p = .133), but reaches p = .053 in M11 (β = −0.019, †), suggesting that, in the full specification, more experienced managers navigate the high-FSTS coordination challenges more effectively (negative interaction = smaller performance decline above the turning point).</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marginally present in M11 but absent in M9; we interpret this as a secondary finding requiring replication.</w:t>
      </w:r>
    </w:p>
    <w:bookmarkEnd w:id="39"/>
    <w:bookmarkStart w:id="40" w:name="Xa3f0408b049fb96786efb222e5b901022bb2da2"/>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+0.763, p &lt; .001) indicates that, controlling for TCI, DAI, and firm characteristics, each step up the ICRV scale (from Group I to VI, i.e., from stronger to weaker institutions) is associated with approximately a 115% higher labour productivity level (exp(0.763) − 1 ≈ 115%).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 FSTS×ICRV (β = +1.762, p &lt; .001) and FSTS²×ICRV (β = −2.746, p &lt; .001). These indicate that the ascending slope of the I–P curve is steeper in weaker-institution economies (higher ICRV group), but so is the descending slope, meaning that the inverted-U peak occurs at lower export intensities in stronger-institution economies (lower ICRV number), and is more pronounced in weaker-institution economies. Decomposing by ICRV group: for Group I economies (Advanced innovation-driven), the estimated turning point is approximately 28%; for Group V–VI (Frontier/SIDS), the estimated turning point is approximately 55%. This pattern is consistent with firms in institutionally advanced economies recouping internationalization costs at lower export intensities, while firms in institutionally weaker environments require greater export commitment to reach the performance peak.</w:t>
      </w:r>
    </w:p>
    <w:p>
      <w:pPr>
        <w:pStyle w:val="BodyText"/>
      </w:pPr>
      <w:r>
        <w:rPr>
          <w:bCs/>
          <w:b/>
        </w:rPr>
        <w:t xml:space="preserve">H5 is supported.</w:t>
      </w:r>
      <w:r>
        <w:t xml:space="preserve"> </w:t>
      </w:r>
      <w:r>
        <w:t xml:space="preserve">The ICRV institutional regime systematically moderates both the slope and curvature of the I–P function, with stronger institutions associated with earlier (lower FSTS) performance peaks.</w:t>
      </w:r>
    </w:p>
    <w:bookmarkEnd w:id="40"/>
    <w:bookmarkStart w:id="41" w:name="Xa51c5497f5122fc9a49f126906c933c8949a1b3"/>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(FSTS×DAI×ICRV, plus constituent lower-order interactions). The Lind–Mehlum test in M11 confirms the inverted-U (TP = 34.6%, LM p = .002), establishing that the inverted-U shape holds even in the most demanding specification. The DAI×ICRV interaction (β = +0.060, p = .012, *) is statistically significant, consistent with the CDCM prediction that digital capabilities provide stronger per-unit performance effects in weaker institutional environments. The three-way FSTS×DAI×ICRV term (β = −0.001, NS) is not significant, indicating that the DAI curve-reshaping effect documented in M8/M9 does not systematically vary across the ICRV regime gradient in this specification.</w:t>
      </w:r>
    </w:p>
    <w:p>
      <w:pPr>
        <w:pStyle w:val="BodyText"/>
      </w:pPr>
      <w:r>
        <w:t xml:space="preserve">AdjR² = .067 in M11 (vs. .049 in M10) indicates meaningful incremental fit from adding the three-way moderation structure.</w:t>
      </w:r>
    </w:p>
    <w:p>
      <w:pPr>
        <w:pStyle w:val="BodyText"/>
      </w:pPr>
      <w:r>
        <w:rPr>
          <w:bCs/>
          <w:b/>
        </w:rPr>
        <w:t xml:space="preserve">H6 (three-way interaction) partially supported; M11 inverted-U is confirmed.</w:t>
      </w:r>
      <w:r>
        <w:t xml:space="preserve"> </w:t>
      </w:r>
      <w:r>
        <w:t xml:space="preserve">The DAI×ICRV main interaction is statistically significant (p = .012), supporting regime-contingent digital effects. The three-way FSTS curve-reshaping via DAI×ICRV does not reach statistical significance, the WBES DAI measure's limited dimensionality (Tier 1–2 only) likely constrains detection of the full CDCM-predicted interaction.</w:t>
      </w:r>
    </w:p>
    <w:p>
      <w:r>
        <w:pict>
          <v:rect style="width:0;height:1.5pt" o:hralign="center" o:hrstd="t" o:hr="t"/>
        </w:pict>
      </w:r>
    </w:p>
    <w:bookmarkEnd w:id="41"/>
    <w:bookmarkEnd w:id="42"/>
    <w:bookmarkStart w:id="48" w:name="X735612638e4e736e4693e459c258977262c0dfc"/>
    <w:p>
      <w:pPr>
        <w:pStyle w:val="Heading2"/>
      </w:pPr>
      <w:r>
        <w:t xml:space="preserve">5. Discussion</w:t>
      </w:r>
    </w:p>
    <w:bookmarkStart w:id="43" w:name="Xdb3d0d0ea2b17533512dc509acb289540c6f5bb"/>
    <w:p>
      <w:pPr>
        <w:pStyle w:val="Heading3"/>
      </w:pPr>
      <w:r>
        <w:t xml:space="preserve">5.1 Resolution of Cross-Study Heterogeneity</w:t>
      </w:r>
    </w:p>
    <w:p>
      <w:pPr>
        <w:pStyle w:val="FirstParagraph"/>
      </w:pPr>
      <w:r>
        <w:t xml:space="preserve">The central finding, an inverted-U with a turning point at approximately 36% foreign sales intensity, robust across 49 economies and six ICRV groups, offers a parsimonious resolution to apparent inconsistencies in the Asian I–P literature. Studies finding positive linear effects (Pangarkar, 2008: Singapore; Cho et al., 2023: Korea) are working with samples centred well below the 36% turning point; their firms are on the ascending limb. Studies finding null or negative results (Mondal et al., 2022: India family firms) may be capturing firms above the turning point in a high-WBES-wave year. Our ICRV moderation result provides a further refinement: the turning point itself varies from approximately 28% (Group I) to 55% (Group V–VI), so studies in institutionally advanced economies are likely to find earlier-peaking effects than studies in frontier economies.</w:t>
      </w:r>
    </w:p>
    <w:bookmarkEnd w:id="43"/>
    <w:bookmarkStart w:id="44" w:name="X3e958d55d5690299d9deebec25f8bb524b314c6"/>
    <w:p>
      <w:pPr>
        <w:pStyle w:val="Heading3"/>
      </w:pPr>
      <w:r>
        <w:t xml:space="preserve">5.2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P3 Vietnam and P5 China, TCI moderated the curve shape; in the 49-economy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4"/>
    <w:bookmarkStart w:id="45" w:name="X6dd7d6eceb2ff81026d810222fc30c1f86e05e5"/>
    <w:p>
      <w:pPr>
        <w:pStyle w:val="Heading3"/>
      </w:pPr>
      <w:r>
        <w:t xml:space="preserve">5.3 Digital Adoption and Institutional Complementarity</w:t>
      </w:r>
    </w:p>
    <w:p>
      <w:pPr>
        <w:pStyle w:val="FirstParagraph"/>
      </w:pPr>
      <w:r>
        <w:t xml:space="preserve">The capability-complementarity curve reshaping found for DAI in M9, and the significant DAI×ICRV interaction (β = +0.060, p = .012) in M11,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bookmarkEnd w:id="45"/>
    <w:bookmarkStart w:id="46" w:name="X84f38018b3434e120970b4f2e30dde187cbc62e"/>
    <w:p>
      <w:pPr>
        <w:pStyle w:val="Heading3"/>
      </w:pPr>
      <w:r>
        <w:t xml:space="preserve">5.4 Managerial Heterogeneity</w:t>
      </w:r>
    </w:p>
    <w:p>
      <w:pPr>
        <w:pStyle w:val="FirstParagraph"/>
      </w:pPr>
      <w:r>
        <w:t xml:space="preserve">The consistent and significant performance premium for female top managers (approximately 17–20% across specifications) is notable given the diversity of economies in our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(FSTS×female_manager not significant) suggests that the performance premium is universal across FSTS levels, female managers improve absolute performance but do not help firms navigate internationalization more efficiently.</w:t>
      </w:r>
    </w:p>
    <w:p>
      <w:pPr>
        <w:pStyle w:val="BodyText"/>
      </w:pPr>
      <w:r>
        <w:t xml:space="preserve">Two recent World Bank studies corroborate the premium from a supply-side perspective. In Vietnam (one of our largest ICRV Group IV contributors, with a female-to-male labour force participation ratio of 88.61%, per World Bank Prosperity Data360, 2025), the</w:t>
      </w:r>
      <w:r>
        <w:t xml:space="preserve"> </w:t>
      </w:r>
      <w:r>
        <w:rPr>
          <w:iCs/>
          <w:i/>
        </w:rPr>
        <w:t xml:space="preserve">Care for Growth</w:t>
      </w:r>
      <w:r>
        <w:t xml:space="preserve"> </w:t>
      </w:r>
      <w:r>
        <w:t xml:space="preserve">policy note (Buchhave et al., 2026) documents that women who hold management positions have cleared exceptional retention barriers: childbirth reduces women's wage employment probability by 8.1 percentage points and urban household income by 27%, with no significant effect on fathers. Women who reach managerial rank therefore represent a highly selected and committed workforce stratum, consistent with the productivity premium we estimate. At the sector level, IFC (2022) similarly documents that female leadership in Vietnamese banking is associated with superior risk management and stakeholder orientation, the relational-capital mechanisms posited by Upper Echelons Theory (Hambrick &amp; Mason, 1984). These convergent pieces of evidence strengthen the interpretation that the WBES-estimated premium reflects genuine managerial capability rather than endogenous selection into high-productivity firms.</w:t>
      </w:r>
    </w:p>
    <w:bookmarkEnd w:id="46"/>
    <w:bookmarkStart w:id="47" w:name="Xde7edcb3f604b7ff7a62d585547252a5b42f172"/>
    <w:p>
      <w:pPr>
        <w:pStyle w:val="Heading3"/>
      </w:pPr>
      <w:r>
        <w:t xml:space="preserve">5.5 Limitations</w:t>
      </w:r>
    </w:p>
    <w:p>
      <w:pPr>
        <w:pStyle w:val="FirstParagraph"/>
      </w:pPr>
      <w:r>
        <w:t xml:space="preserve">Three inferential constraints bound these findings. First, WBES is a cross-sectional design: the term "performance" throughout refers to a contemporaneous association between FSTS and labour productivity in a given survey year, not a panel-tracked causal effect. The IV strategy used in P3 Vietnam to address selection into exporting is not available at scale across 34 economies. Second, the DAI measure is limited to Tier 1 (website) and Tier 2 (e-payment) capabilities in most WBES waves; the richer digital capability dimensions captured in more recent BEE-schema waves are not yet available for the majority of economies. Third, the dataset now covers all 49 ICRV-mapped economies across six regime groups; however, Oman's available wave (2003) predates the digital-capability variables, limiting its contribution to baseline models only. Future waves of the Oman WBES would sharpen Group II estimates.</w:t>
      </w:r>
    </w:p>
    <w:p>
      <w:r>
        <w:pict>
          <v:rect style="width:0;height:1.5pt" o:hralign="center" o:hrstd="t" o:hr="t"/>
        </w:pict>
      </w:r>
    </w:p>
    <w:bookmarkEnd w:id="47"/>
    <w:bookmarkEnd w:id="48"/>
    <w:bookmarkStart w:id="49" w:name="X56025c6d9dbf7520f7a7df11f905cdd09f46e4a"/>
    <w:p>
      <w:pPr>
        <w:pStyle w:val="Heading2"/>
      </w:pPr>
      <w:r>
        <w:t xml:space="preserve">6. Conclusions</w:t>
      </w:r>
    </w:p>
    <w:p>
      <w:pPr>
        <w:pStyle w:val="FirstParagraph"/>
      </w:pPr>
      <w:r>
        <w:t xml:space="preserve">We find that the inverted-U I–P relationship holds robustly across a 49-economy, 102-wave WBES sample, with a turning point of approximately 36% foreign sales intensity. Three conclusions are policy-relevant. First, for firms in the ascending phase (FSTS &lt; 36%), intensifying internationalization is productivity-enhancing; the priority is removing barriers to export expansion. For firms beyond the turning point, the constraint is not market access but coordination capacity. Second, building technological capability raises the performance level across all FSTS levels without reliably reshaping the curve; policy should target capability building as a baseline performance lever rather than as a curve-shifting intervention. Third, digital adoption is both a universal performance enhancer and a primary curve reshaper: DAI compresses ascending-limb returns and attenuates descending-limb performance decline, with stronger returns in weaker institutional environments (DAI×ICRV, p = .012).</w:t>
      </w:r>
    </w:p>
    <w:p>
      <w:pPr>
        <w:pStyle w:val="BodyText"/>
      </w:pPr>
      <w:r>
        <w:t xml:space="preserve">The near-term policy context adds urgency to these findings. World Bank (2026b) macro monitoring data for Vietnam, the largest ICRV Group IV economy in the sample, show manufacturing PMI falling to 45.3 (contraction) in March 2026 as new export orders collapsed following the opening of a U.S. trade-representative investigation; merchandise imports had risen 27.8% year-on-year by the same month, partly driven by energy supply-chain disruption from the Strait of Hormuz conflict. These conditions are precisely those under which the right-side of the inverted-U becomes consequential: firms pushed above their optimal FSTS by earlier export commitments face amplified coordination and input-cost pressures. The ICRV moderation result, that Group IV firms face steeper descending-limb penalties, implies that Vietnamese exporters currently above the 36% FSTS turning point are among the most exposed to macro shocks. Policies promoting digital capability adoption (DAI) can buffer this descent by compressing the descending limb, consistent with our M8/M9 estimates.</w:t>
      </w:r>
    </w:p>
    <w:p>
      <w:pPr>
        <w:pStyle w:val="BodyText"/>
      </w:pPr>
      <w:r>
        <w:t xml:space="preserve">Future research should leverage the growing panel dimensions of WBES to establish causality, and incorporate Tier 3–4 digital capability measures (AI adoption, cloud computing, platform participation) as these items become available in the 2025+ WBES waves.</w:t>
      </w:r>
    </w:p>
    <w:p>
      <w:r>
        <w:pict>
          <v:rect style="width:0;height:1.5pt" o:hralign="center" o:hrstd="t" o:hr="t"/>
        </w:pict>
      </w:r>
    </w:p>
    <w:bookmarkEnd w:id="49"/>
    <w:bookmarkStart w:id="74"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50">
        <w:r>
          <w:rPr>
            <w:rStyle w:val="Hyperlink"/>
          </w:rPr>
          <w:t xml:space="preserve">https://doi.org/10.1177/014920639101700108</w:t>
        </w:r>
      </w:hyperlink>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51">
        <w:r>
          <w:rPr>
            <w:rStyle w:val="Hyperlink"/>
          </w:rPr>
          <w:t xml:space="preserve">https://doi.org/10.1007/s11575-007-0019-z</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52">
        <w:r>
          <w:rPr>
            <w:rStyle w:val="Hyperlink"/>
          </w:rPr>
          <w:t xml:space="preserve">https://doi.org/10.1007/s11187-005-5599-z</w:t>
        </w:r>
      </w:hyperlink>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53">
        <w:r>
          <w:rPr>
            <w:rStyle w:val="Hyperlink"/>
          </w:rPr>
          <w:t xml:space="preserve">https://doi.org/10.2307/2393553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54">
        <w:r>
          <w:rPr>
            <w:rStyle w:val="Hyperlink"/>
          </w:rPr>
          <w:t xml:space="preserve">https://doi.org/10.1057/palgrave.jibs.8400003</w:t>
        </w:r>
      </w:hyperlink>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w:t>
      </w:r>
      <w:r>
        <w:t xml:space="preserve"> </w:t>
      </w:r>
      <w:hyperlink r:id="rId55">
        <w:r>
          <w:rPr>
            <w:rStyle w:val="Hyperlink"/>
          </w:rPr>
          <w:t xml:space="preserve">https://doi.org/10.1016/j.jwb.2007.06.003</w:t>
        </w:r>
      </w:hyperlink>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56">
        <w:r>
          <w:rPr>
            <w:rStyle w:val="Hyperlink"/>
          </w:rPr>
          <w:t xml:space="preserve">https://doi.org/10.1016/j.jwb.2017.11.003</w:t>
        </w:r>
      </w:hyperlink>
    </w:p>
    <w:p>
      <w:pPr>
        <w:pStyle w:val="BodyText"/>
      </w:pPr>
      <w:r>
        <w:t xml:space="preserve">Dawson, J. F. (2014). Moderation in management research: What, why, when, and how.</w:t>
      </w:r>
      <w:r>
        <w:t xml:space="preserve"> </w:t>
      </w:r>
      <w:r>
        <w:rPr>
          <w:iCs/>
          <w:i/>
        </w:rPr>
        <w:t xml:space="preserve">Journal of Business and Psychology, 29</w:t>
      </w:r>
      <w:r>
        <w:t xml:space="preserve">(1), 1–19.</w:t>
      </w:r>
      <w:r>
        <w:t xml:space="preserve"> </w:t>
      </w:r>
      <w:hyperlink r:id="rId57">
        <w:r>
          <w:rPr>
            <w:rStyle w:val="Hyperlink"/>
          </w:rPr>
          <w:t xml:space="preserve">https://doi.org/10.1007/s10869-013-9308-7</w:t>
        </w:r>
      </w:hyperlink>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58">
        <w:r>
          <w:rPr>
            <w:rStyle w:val="Hyperlink"/>
          </w:rPr>
          <w:t xml:space="preserve">https://doi.org/10.1057/palgrave.jibs.8490065</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59">
        <w:r>
          <w:rPr>
            <w:rStyle w:val="Hyperlink"/>
          </w:rPr>
          <w:t xml:space="preserve">https://doi.org/10.1002/smj.2399</w:t>
        </w:r>
      </w:hyperlink>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60">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61">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w:t>
      </w:r>
      <w:r>
        <w:t xml:space="preserve"> </w:t>
      </w:r>
      <w:hyperlink r:id="rId62">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63">
        <w:r>
          <w:rPr>
            <w:rStyle w:val="Hyperlink"/>
          </w:rPr>
          <w:t xml:space="preserve">https://doi.org/10.1057/jibs.2009.24</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64">
        <w:r>
          <w:rPr>
            <w:rStyle w:val="Hyperlink"/>
          </w:rPr>
          <w:t xml:space="preserve">https://doi.org/10.1002/gsj.1028</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65">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66">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67">
        <w:r>
          <w:rPr>
            <w:rStyle w:val="Hyperlink"/>
          </w:rPr>
          <w:t xml:space="preserve">https://doi.org/10.2307/20159604</w:t>
        </w:r>
      </w:hyperlink>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w:t>
      </w:r>
      <w:r>
        <w:t xml:space="preserve"> </w:t>
      </w:r>
      <w:hyperlink r:id="rId68">
        <w:r>
          <w:rPr>
            <w:rStyle w:val="Hyperlink"/>
          </w:rPr>
          <w:t xml:space="preserve">https://doi.org/10.1057/jibs.2016.7</w:t>
        </w:r>
      </w:hyperlink>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r>
        <w:t xml:space="preserve"> </w:t>
      </w:r>
      <w:hyperlink r:id="rId69">
        <w:r>
          <w:rPr>
            <w:rStyle w:val="Hyperlink"/>
          </w:rPr>
          <w:t xml:space="preserve">https://doi.org/10.1016/j.jwb.2007.11.009</w:t>
        </w:r>
      </w:hyperlink>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70">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71">
        <w:r>
          <w:rPr>
            <w:rStyle w:val="Hyperlink"/>
          </w:rPr>
          <w:t xml:space="preserve">https://doi.org/10.1002/smj.4250050207</w:t>
        </w:r>
      </w:hyperlink>
    </w:p>
    <w:p>
      <w:pPr>
        <w:pStyle w:val="BodyText"/>
      </w:pPr>
      <w:r>
        <w:t xml:space="preserve">World Bank. (2025).</w:t>
      </w:r>
      <w:r>
        <w:t xml:space="preserve"> </w:t>
      </w:r>
      <w:r>
        <w:rPr>
          <w:iCs/>
          <w:i/>
        </w:rPr>
        <w:t xml:space="preserve">Enterprise surveys</w:t>
      </w:r>
      <w:r>
        <w:t xml:space="preserve">.</w:t>
      </w:r>
      <w:r>
        <w:t xml:space="preserve"> </w:t>
      </w:r>
      <w:hyperlink r:id="rId72">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73">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73">
        <w:r>
          <w:rPr>
            <w:rStyle w:val="Hyperlink"/>
          </w:rPr>
          <w:t xml:space="preserve">https://www.worldbank.org/ext/en/country/vietnam</w:t>
        </w:r>
      </w:hyperlink>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74"/>
    <w:bookmarkStart w:id="75"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Note.</w:t>
      </w:r>
      <w:r>
        <w:t xml:space="preserve"> </w:t>
      </w:r>
      <w:r>
        <w:t xml:space="preserve">HC1 robust SEs. *** p &lt; .001, ** p &lt; .01, * p &lt; .05, † p &lt; .10. Controls (female_owner, foreign_own_pct, firm_age, ln_size) included in M7–M10 but not reported for space. M11 (N=29,840, AdjR²=.067, TP=34.6%, LM p=.002): DAI×ICRV=+0.060*, three-way FSTS×DAI×ICRV=−0.001 (NS), mgr_experience=+0.009**, FSTS×mgr=−0.019†, mgr_female=+0.187***, female_owner=+0.128**.</w:t>
      </w:r>
    </w:p>
    <w:p>
      <w:r>
        <w:pict>
          <v:rect style="width:0;height:1.5pt" o:hralign="center" o:hrstd="t" o:hr="t"/>
        </w:pict>
      </w:r>
    </w:p>
    <w:bookmarkEnd w:id="75"/>
    <w:bookmarkStart w:id="78"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rPr>
          <w:iCs/>
          <w:i/>
        </w:rPr>
        <w:t xml:space="preserve">Corresponding author: Phan Anh Tu, College of Economics, Can Tho University,</w:t>
      </w:r>
      <w:r>
        <w:rPr>
          <w:iCs/>
          <w:i/>
        </w:rPr>
        <w:t xml:space="preserve"> </w:t>
      </w:r>
      <w:hyperlink r:id="rId76">
        <w:r>
          <w:rPr>
            <w:rStyle w:val="Hyperlink"/>
            <w:iCs/>
            <w:i/>
          </w:rPr>
          <w:t xml:space="preserve">patu@ctu.edu.vn</w:t>
        </w:r>
      </w:hyperlink>
      <w:r>
        <w:rPr>
          <w:iCs/>
          <w:i/>
        </w:rPr>
        <w:t xml:space="preserve">, ORCID: 0000-0003-0667-3137</w:t>
      </w:r>
      <w:r>
        <w:br/>
      </w:r>
      <w:r>
        <w:rPr>
          <w:iCs/>
          <w:i/>
        </w:rPr>
        <w:t xml:space="preserve">First author: Do Thuy Huong, Vinh Long University of Technology Education,</w:t>
      </w:r>
      <w:r>
        <w:rPr>
          <w:iCs/>
          <w:i/>
        </w:rPr>
        <w:t xml:space="preserve"> </w:t>
      </w:r>
      <w:hyperlink r:id="rId77">
        <w:r>
          <w:rPr>
            <w:rStyle w:val="Hyperlink"/>
            <w:iCs/>
            <w:i/>
          </w:rPr>
          <w:t xml:space="preserve">huongdt@vlute.edu.vn</w:t>
        </w:r>
      </w:hyperlink>
      <w:r>
        <w:rPr>
          <w:iCs/>
          <w:i/>
        </w:rPr>
        <w:t xml:space="preserve">, ORCID: 0000-0002-7711-2487</w:t>
      </w:r>
    </w:p>
    <w:bookmarkEnd w:id="78"/>
    <w:bookmarkEnd w:id="7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4" Target="https://doi.org/10.1002/gsj.1028" TargetMode="External" /><Relationship Type="http://schemas.openxmlformats.org/officeDocument/2006/relationships/hyperlink" Id="rId59" Target="https://doi.org/10.1002/smj.2399" TargetMode="External" /><Relationship Type="http://schemas.openxmlformats.org/officeDocument/2006/relationships/hyperlink" Id="rId71" Target="https://doi.org/10.1002/smj.4250050207" TargetMode="External" /><Relationship Type="http://schemas.openxmlformats.org/officeDocument/2006/relationships/hyperlink" Id="rId57" Target="https://doi.org/10.1007/s10869-013-9308-7" TargetMode="External" /><Relationship Type="http://schemas.openxmlformats.org/officeDocument/2006/relationships/hyperlink" Id="rId52" Target="https://doi.org/10.1007/s11187-005-5599-z" TargetMode="External" /><Relationship Type="http://schemas.openxmlformats.org/officeDocument/2006/relationships/hyperlink" Id="rId51" Target="https://doi.org/10.1007/s11575-007-0019-z" TargetMode="External" /><Relationship Type="http://schemas.openxmlformats.org/officeDocument/2006/relationships/hyperlink" Id="rId70" Target="https://doi.org/10.1016/j.jbusres.2019.09.022" TargetMode="External" /><Relationship Type="http://schemas.openxmlformats.org/officeDocument/2006/relationships/hyperlink" Id="rId55" Target="https://doi.org/10.1016/j.jwb.2007.06.003" TargetMode="External" /><Relationship Type="http://schemas.openxmlformats.org/officeDocument/2006/relationships/hyperlink" Id="rId69" Target="https://doi.org/10.1016/j.jwb.2007.11.009" TargetMode="External" /><Relationship Type="http://schemas.openxmlformats.org/officeDocument/2006/relationships/hyperlink" Id="rId56" Target="https://doi.org/10.1016/j.jwb.2017.11.003" TargetMode="External" /><Relationship Type="http://schemas.openxmlformats.org/officeDocument/2006/relationships/hyperlink" Id="rId63" Target="https://doi.org/10.1057/jibs.2009.24" TargetMode="External" /><Relationship Type="http://schemas.openxmlformats.org/officeDocument/2006/relationships/hyperlink" Id="rId68" Target="https://doi.org/10.1057/jibs.2016.7" TargetMode="External" /><Relationship Type="http://schemas.openxmlformats.org/officeDocument/2006/relationships/hyperlink" Id="rId54" Target="https://doi.org/10.1057/palgrave.jibs.8400003" TargetMode="External" /><Relationship Type="http://schemas.openxmlformats.org/officeDocument/2006/relationships/hyperlink" Id="rId58" Target="https://doi.org/10.1057/palgrave.jibs.8490065" TargetMode="External" /><Relationship Type="http://schemas.openxmlformats.org/officeDocument/2006/relationships/hyperlink" Id="rId62" Target="https://doi.org/10.1057/palgrave.jibs.8490676" TargetMode="External" /><Relationship Type="http://schemas.openxmlformats.org/officeDocument/2006/relationships/hyperlink" Id="rId66" Target="https://doi.org/10.1080/00031305.2000.10474549" TargetMode="External" /><Relationship Type="http://schemas.openxmlformats.org/officeDocument/2006/relationships/hyperlink" Id="rId65" Target="https://doi.org/10.1111/j.1468-0084.2009.00569.x" TargetMode="External" /><Relationship Type="http://schemas.openxmlformats.org/officeDocument/2006/relationships/hyperlink" Id="rId50" Target="https://doi.org/10.1177/014920639101700108" TargetMode="External" /><Relationship Type="http://schemas.openxmlformats.org/officeDocument/2006/relationships/hyperlink" Id="rId67" Target="https://doi.org/10.2307/20159604" TargetMode="External" /><Relationship Type="http://schemas.openxmlformats.org/officeDocument/2006/relationships/hyperlink" Id="rId53" Target="https://doi.org/10.2307/2393553" TargetMode="External" /><Relationship Type="http://schemas.openxmlformats.org/officeDocument/2006/relationships/hyperlink" Id="rId61" Target="https://doi.org/10.5465/amr.1984.4277628" TargetMode="External" /><Relationship Type="http://schemas.openxmlformats.org/officeDocument/2006/relationships/hyperlink" Id="rId60" Target="https://doi.org/10.5465/amr.2007.24345254" TargetMode="External" /><Relationship Type="http://schemas.openxmlformats.org/officeDocument/2006/relationships/hyperlink" Id="rId72" Target="https://www.enterprisesurveys.org" TargetMode="External" /><Relationship Type="http://schemas.openxmlformats.org/officeDocument/2006/relationships/hyperlink" Id="rId73" Target="https://www.worldbank.org/ext/en/country/vietnam" TargetMode="External" /><Relationship Type="http://schemas.openxmlformats.org/officeDocument/2006/relationships/hyperlink" Id="rId77" Target="mailto:huongdt@vlute.edu.vn" TargetMode="External" /><Relationship Type="http://schemas.openxmlformats.org/officeDocument/2006/relationships/hyperlink" Id="rId76"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4" Target="https://doi.org/10.1002/gsj.1028" TargetMode="External" /><Relationship Type="http://schemas.openxmlformats.org/officeDocument/2006/relationships/hyperlink" Id="rId59" Target="https://doi.org/10.1002/smj.2399" TargetMode="External" /><Relationship Type="http://schemas.openxmlformats.org/officeDocument/2006/relationships/hyperlink" Id="rId71" Target="https://doi.org/10.1002/smj.4250050207" TargetMode="External" /><Relationship Type="http://schemas.openxmlformats.org/officeDocument/2006/relationships/hyperlink" Id="rId57" Target="https://doi.org/10.1007/s10869-013-9308-7" TargetMode="External" /><Relationship Type="http://schemas.openxmlformats.org/officeDocument/2006/relationships/hyperlink" Id="rId52" Target="https://doi.org/10.1007/s11187-005-5599-z" TargetMode="External" /><Relationship Type="http://schemas.openxmlformats.org/officeDocument/2006/relationships/hyperlink" Id="rId51" Target="https://doi.org/10.1007/s11575-007-0019-z" TargetMode="External" /><Relationship Type="http://schemas.openxmlformats.org/officeDocument/2006/relationships/hyperlink" Id="rId70" Target="https://doi.org/10.1016/j.jbusres.2019.09.022" TargetMode="External" /><Relationship Type="http://schemas.openxmlformats.org/officeDocument/2006/relationships/hyperlink" Id="rId55" Target="https://doi.org/10.1016/j.jwb.2007.06.003" TargetMode="External" /><Relationship Type="http://schemas.openxmlformats.org/officeDocument/2006/relationships/hyperlink" Id="rId69" Target="https://doi.org/10.1016/j.jwb.2007.11.009" TargetMode="External" /><Relationship Type="http://schemas.openxmlformats.org/officeDocument/2006/relationships/hyperlink" Id="rId56" Target="https://doi.org/10.1016/j.jwb.2017.11.003" TargetMode="External" /><Relationship Type="http://schemas.openxmlformats.org/officeDocument/2006/relationships/hyperlink" Id="rId63" Target="https://doi.org/10.1057/jibs.2009.24" TargetMode="External" /><Relationship Type="http://schemas.openxmlformats.org/officeDocument/2006/relationships/hyperlink" Id="rId68" Target="https://doi.org/10.1057/jibs.2016.7" TargetMode="External" /><Relationship Type="http://schemas.openxmlformats.org/officeDocument/2006/relationships/hyperlink" Id="rId54" Target="https://doi.org/10.1057/palgrave.jibs.8400003" TargetMode="External" /><Relationship Type="http://schemas.openxmlformats.org/officeDocument/2006/relationships/hyperlink" Id="rId58" Target="https://doi.org/10.1057/palgrave.jibs.8490065" TargetMode="External" /><Relationship Type="http://schemas.openxmlformats.org/officeDocument/2006/relationships/hyperlink" Id="rId62" Target="https://doi.org/10.1057/palgrave.jibs.8490676" TargetMode="External" /><Relationship Type="http://schemas.openxmlformats.org/officeDocument/2006/relationships/hyperlink" Id="rId66" Target="https://doi.org/10.1080/00031305.2000.10474549" TargetMode="External" /><Relationship Type="http://schemas.openxmlformats.org/officeDocument/2006/relationships/hyperlink" Id="rId65" Target="https://doi.org/10.1111/j.1468-0084.2009.00569.x" TargetMode="External" /><Relationship Type="http://schemas.openxmlformats.org/officeDocument/2006/relationships/hyperlink" Id="rId50" Target="https://doi.org/10.1177/014920639101700108" TargetMode="External" /><Relationship Type="http://schemas.openxmlformats.org/officeDocument/2006/relationships/hyperlink" Id="rId67" Target="https://doi.org/10.2307/20159604" TargetMode="External" /><Relationship Type="http://schemas.openxmlformats.org/officeDocument/2006/relationships/hyperlink" Id="rId53" Target="https://doi.org/10.2307/2393553" TargetMode="External" /><Relationship Type="http://schemas.openxmlformats.org/officeDocument/2006/relationships/hyperlink" Id="rId61" Target="https://doi.org/10.5465/amr.1984.4277628" TargetMode="External" /><Relationship Type="http://schemas.openxmlformats.org/officeDocument/2006/relationships/hyperlink" Id="rId60" Target="https://doi.org/10.5465/amr.2007.24345254" TargetMode="External" /><Relationship Type="http://schemas.openxmlformats.org/officeDocument/2006/relationships/hyperlink" Id="rId72" Target="https://www.enterprisesurveys.org" TargetMode="External" /><Relationship Type="http://schemas.openxmlformats.org/officeDocument/2006/relationships/hyperlink" Id="rId73" Target="https://www.worldbank.org/ext/en/country/vietnam" TargetMode="External" /><Relationship Type="http://schemas.openxmlformats.org/officeDocument/2006/relationships/hyperlink" Id="rId77" Target="mailto:huongdt@vlute.edu.vn" TargetMode="External" /><Relationship Type="http://schemas.openxmlformats.org/officeDocument/2006/relationships/hyperlink" Id="rId76"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2026-05-22T18:42:23Z</dcterms:created>
  <dcterms:modified xsi:type="dcterms:W3CDTF">2026-05-22T18:42:23Z</dcterms:modified>
</cp:coreProperties>
</file>

<file path=docProps/custom.xml><?xml version="1.0" encoding="utf-8"?>
<Properties xmlns="http://schemas.openxmlformats.org/officeDocument/2006/custom-properties" xmlns:vt="http://schemas.openxmlformats.org/officeDocument/2006/docPropsVTypes"/>
</file>