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pPr>
        <w:pStyle w:val="BodyText"/>
      </w:pPr>
      <w:r>
        <w:rPr>
          <w:bCs/>
          <w:b/>
        </w:rPr>
        <w:t xml:space="preserve">JEL Classification:</w:t>
      </w:r>
      <w:r>
        <w:t xml:space="preserve"> </w:t>
      </w:r>
      <w:r>
        <w:t xml:space="preserve">F23; O19; L25; D22; O53.</w:t>
      </w:r>
    </w:p>
    <w:p>
      <w:pPr>
        <w:pStyle w:val="BodyText"/>
      </w:pPr>
      <w:r>
        <w:rPr>
          <w:bCs/>
          <w:b/>
        </w:rPr>
        <w:t xml:space="preserve">Paper type:</w:t>
      </w:r>
      <w:r>
        <w:t xml:space="preserve"> </w:t>
      </w:r>
      <w:r>
        <w:t xml:space="preserve">Research paper.</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as in Pacific Small Island Developing States (SIDS),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Specifically, β = −0.404, p = .032 in the country-and-year fixed-effects specification, and β = −1.236, p &lt; .001 without country fixed effects, with no significant quadratic curvature. Technological capability and digital adoption, both significant moderators in mainland Asian contexts, are null in the SIDS environment. This pattern is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characteristic of Small Island Developing States (SIDS),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(poverty, life expectancy, schooling, gender equality, climate, and electricity) finds the world developing at its slowest pace in 75 years. Some 54 economies remain more than a century from reaching developed-country standards at current trajectories, and SIDS are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survival-based internationalization, fundamentally alters the logic of the I-P relationship.</w:t>
      </w:r>
    </w:p>
    <w:p>
      <w:pPr>
        <w:pStyle w:val="BodyText"/>
      </w:pPr>
      <w:r>
        <w:t xml:space="preserve">This paper makes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the most comprehensive firm-level I-P analysis in Pacific SIDS to date. Third, we document that firm-level capabilities (technological capability, digital adoption) do not appear to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Beyond a threshold, however,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absent financial intermediaries, unreliable contract enforcement, limited trade facilitation infrastructure,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achieve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observations with non-missing values for labor productivity, export intensity, and firm age,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the first step of digital presence. It is appropriate for the SIDS context where advanced digital infrastructure is limited,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FIP test)</w:t>
      </w:r>
      <w:r>
        <w:t xml:space="preserve">:</w:t>
      </w:r>
      <w:r>
        <w:t xml:space="preserve"> </w:t>
      </w:r>
      <w:r>
        <w:t xml:space="preserve">ln_LP_it = α + β₁ FSTS_c_it + γ·X_it + δ_c + λ_t + ε_it</w:t>
      </w:r>
    </w:p>
    <w:p>
      <w:pPr>
        <w:pStyle w:val="BodyText"/>
      </w:pPr>
      <w:r>
        <w:rPr>
          <w:bCs/>
          <w:b/>
        </w:rPr>
        <w:t xml:space="preserve">M2 (quadratic FSTS, curvature test)</w:t>
      </w:r>
      <w:r>
        <w:t xml:space="preserve">:</w:t>
      </w:r>
      <w:r>
        <w:t xml:space="preserve"> </w:t>
      </w:r>
      <w:r>
        <w:t xml:space="preserve">ln_LP_it = α + β₁ FSTS_c_it + β₂ FSTS_c²_it + γ·X_it + δ_c + λ_t + ε_it</w:t>
      </w:r>
    </w:p>
    <w:p>
      <w:pPr>
        <w:pStyle w:val="BodyText"/>
      </w:pPr>
      <w:r>
        <w:rPr>
          <w:bCs/>
          <w:b/>
        </w:rPr>
        <w:t xml:space="preserve">M3 (capabilities,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278b3f0cc4133671f70c21e2e288fdaa4a06e72"/>
    <w:p>
      <w:pPr>
        <w:pStyle w:val="Heading3"/>
      </w:pPr>
      <w:r>
        <w:t xml:space="preserve">4.3 Monotone Negative Form: No Curvature (H1, quadratic null)</w:t>
      </w:r>
    </w:p>
    <w:p>
      <w:pPr>
        <w:pStyle w:val="FirstParagraph"/>
      </w:pPr>
      <w:r>
        <w:rPr>
          <w:bCs/>
          <w:b/>
        </w:rPr>
        <w:t xml:space="preserve">M2</w:t>
      </w:r>
      <w:r>
        <w:t xml:space="preserve"> </w:t>
      </w:r>
      <w:r>
        <w:t xml:space="preserve">introduces the quadratic term FSTS_c² to test whether the negative I-P relationship is eventually reversed,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which might absorb too much structural variation,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while small and non-significant,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across four points.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absent trade finance intermediaries, unreliable contract enforcement, limited standards infrastructure,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not just the magnitude,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simultaneously,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Vietnam, Singapore, China, and multi-country samples, technological capability and digital adoption are statistically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capabilities help the level, not the slope,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simultaneously addressing the violated structural prerequisites,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standards bodies, trade finance intermediaries, export promotion agencies with genuine capacity,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where available for Fiji and Papua New Guinea, which have two waves,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Saharan micro-states, remote highland economies, post-conflict settings,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and β = −0.901, p = .027 in the exporters-only subsample. The quadratic term is not significant, confirming the monotone negative form with no observable turning point. Technological capability and digital adoption,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 "institutional moderation of I-P intensity" to "institutional determination of I-P sign," suggesting that the inverted-U may be conditional on structural prerequisites rather than broadly applicable across contexts. Second, they extend the application of "forced internationalization" 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2026-05-22T18:42:21Z</dcterms:created>
  <dcterms:modified xsi:type="dcterms:W3CDTF">2026-05-22T18:42:21Z</dcterms:modified>
</cp:coreProperties>
</file>

<file path=docProps/custom.xml><?xml version="1.0" encoding="utf-8"?>
<Properties xmlns="http://schemas.openxmlformats.org/officeDocument/2006/custom-properties" xmlns:vt="http://schemas.openxmlformats.org/officeDocument/2006/docPropsVTypes"/>
</file>