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Năng suất lao động — đo bằng ln(doanh thu/lao động) — có độ lệch chuẩn dao động từ 0,49 (Advanced tài nguyên dẫn dắt) đến 1,36 (Nhóm V — Emerging), với tỷ số P90/P10 có xu hướng tăng (gần đơn điệu, với dao động giữa các Nhóm III–IV và V–VI)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Các thống kê độ phân tán (sd log LP) và tỷ lệ (%) được tính trên năng suất lao động đã hiệu chỉnh PPP/winsorize theo từng country-year (xem §3.5.3).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Lưu ý: chuyên đề tiến sĩ số 1 dùng tên mô tả cũ (</w:t>
      </w:r>
      <w:r>
        <w:rPr>
          <w:iCs/>
          <w:i/>
        </w:rPr>
        <w:t xml:space="preserve">‘</w:t>
      </w:r>
      <w:r>
        <w:rPr>
          <w:iCs/>
          <w:i/>
        </w:rPr>
        <w:t xml:space="preserve">Đang nổi</w:t>
      </w:r>
      <w:r>
        <w:rPr>
          <w:iCs/>
          <w:i/>
        </w:rPr>
        <w:t xml:space="preserve">’</w:t>
      </w:r>
      <w:r>
        <w:rPr>
          <w:iCs/>
          <w:i/>
        </w:rPr>
        <w:t xml:space="preserve">/</w:t>
      </w:r>
      <w:r>
        <w:rPr>
          <w:iCs/>
          <w:i/>
        </w:rPr>
        <w:t xml:space="preserve">‘</w:t>
      </w:r>
      <w:r>
        <w:rPr>
          <w:iCs/>
          <w:i/>
        </w:rPr>
        <w:t xml:space="preserve">Cận biên</w:t>
      </w:r>
      <w:r>
        <w:rPr>
          <w:iCs/>
          <w:i/>
        </w:rPr>
        <w:t xml:space="preserve">’</w:t>
      </w:r>
      <w:r>
        <w:rPr>
          <w:iCs/>
          <w:i/>
        </w:rPr>
        <w:t xml:space="preserve">) trên bản khóa mô tả riêng (xem crosswalk trong CĐ1); nhãn dùng trong luận án và P7/CĐ2 là nhãn dữ liệu nêu ở đây.</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đơn điệu của độ phân tán năng suất theo gradient ICRV không chỉ là một quan sát mô tả mà còn nhất quán với khung lý thuyết phân bổ sai nguồn lực (resource misallocation) của Hsieh và Klenow (2009): trong môi trường thể chế yếu, các rào cản thị trường — tiếp cận tài chính hạn chế, thực thi hợp đồng kém, méo mó chính sách —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Lower-middle transition</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Emerging</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2003–2025.</w:t>
      </w:r>
    </w:p>
    <w:p>
      <w:pPr>
        <w:pStyle w:val="BodyText"/>
      </w:pPr>
      <w:r>
        <w:rPr>
          <w:iCs/>
          <w:i/>
        </w:rPr>
        <w:t xml:space="preserve">Ghi chú: Bảng 4.2 gộp hai phân nhóm Advanced (I và II) thành một dòng</w:t>
      </w:r>
      <w:r>
        <w:rPr>
          <w:iCs/>
          <w:i/>
        </w:rPr>
        <w:t xml:space="preserve"> </w:t>
      </w:r>
      <w:r>
        <w:rPr>
          <w:iCs/>
          <w:i/>
        </w:rPr>
        <w:t xml:space="preserve">“</w:t>
      </w:r>
      <w:r>
        <w:rPr>
          <w:iCs/>
          <w:i/>
        </w:rPr>
        <w:t xml:space="preserve">Advanced</w:t>
      </w:r>
      <w:r>
        <w:rPr>
          <w:iCs/>
          <w:i/>
        </w:rPr>
        <w:t xml:space="preserve">”</w:t>
      </w:r>
      <w:r>
        <w:rPr>
          <w:iCs/>
          <w:i/>
        </w:rPr>
        <w:t xml:space="preserve"> </w:t>
      </w:r>
      <w:r>
        <w:rPr>
          <w:iCs/>
          <w:i/>
        </w:rPr>
        <w:t xml:space="preserve">vì cỡ mẫu của nhóm tài nguyên dẫn dắt (GCC) quá nhỏ cho các biến đổi mới–số chi tiết, khiến ước lượng theo từng phân nhóm thiếu ổn định; sự tách biệt I/II chỉ được trình bày ở Bảng 4.1 cho biến năng suất (sd log LP) nơi cỡ mẫu đủ. Việc tách Bảng 4.2 theo I/II được dành cho bước phân tích khi có đủ dữ liệu cấp doanh nghiệp cho từng biến đổi mới. Lưu ý thêm: tỷ lệ đổi mới–số theo nhóm ở Bảng 4.2 được tính trên pool mô tả (bản khóa CĐ1) có khác biệt thành viên nhỏ so với nhãn dữ liệu P7 dùng ở Bảng 4.1 — cụ thể Sri Lanka/Jordan so với Bangladesh/Pakistan hoán giữa Nhóm IV–V; các tỷ lệ này mang tính chỉ báo và sẽ được đồng bộ khi re-lock với dữ liệu thô của 43 nền còn thiếu.</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Lower-middle transition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 meta-analysis cấp nghiên cứu —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4"/>
    <w:bookmarkEnd w:id="35"/>
    <w:bookmarkStart w:id="39" w:name="Xabe361c2d5961cf19ce7ab2bd5d9bc6d758140a"/>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dbd5cc67084304ba85b73781c0cb0c00b74055b"/>
    <w:p>
      <w:pPr>
        <w:pStyle w:val="Heading2"/>
      </w:pPr>
      <w:r>
        <w:t xml:space="preserve">4.5 Kết quả bối cảnh chuyển đổi bậc thấp—trung: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2"/>
    <w:bookmarkStart w:id="43" w:name="điều-tiết-bởi-dai-không-có-ý-nghĩa"/>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Lưu ý cập nhật dữ liệu (2026).</w:t>
      </w:r>
      <w:r>
        <w:t xml:space="preserve"> </w:t>
      </w:r>
      <w:r>
        <w:t xml:space="preserve">Sau khi P7 hoàn tất ước lượng trên mẫu phân tích 49 nền, bộ dữ liệu WBES được cập nhật bổ sung</w:t>
      </w:r>
      <w:r>
        <w:t xml:space="preserve"> </w:t>
      </w:r>
      <w:r>
        <w:rPr>
          <w:bCs/>
          <w:b/>
        </w:rPr>
        <w:t xml:space="preserve">Japan-2025</w:t>
      </w:r>
      <w:r>
        <w:t xml:space="preserve"> </w:t>
      </w:r>
      <w:r>
        <w:t xml:space="preserve">(khảo sát lần đầu, thuộc Nhóm I — nâng khung phân loại lên 50 nền/94.032 doanh nghiệp) cùng các sóng khảo sát mới 2024–2026 của 31 nền (chi tiết:</w:t>
      </w:r>
      <w:r>
        <w:t xml:space="preserve"> </w:t>
      </w:r>
      <w:r>
        <w:rPr>
          <w:rStyle w:val="VerbatimChar"/>
        </w:rPr>
        <w:t xml:space="preserve">data_wbes/analysis/DATA_UPDATE_MANIFEST.md</w:t>
      </w:r>
      <w:r>
        <w:t xml:space="preserve">). Các quan sát này được lưu trữ để phục vụ</w:t>
      </w:r>
      <w:r>
        <w:t xml:space="preserve"> </w:t>
      </w:r>
      <w:r>
        <w:rPr>
          <w:bCs/>
          <w:b/>
        </w:rPr>
        <w:t xml:space="preserve">vòng ước lượng lại P7 kế tiếp</w:t>
      </w:r>
      <w:r>
        <w:t xml:space="preserve">; kết quả P7 báo cáo ở đây</w:t>
      </w:r>
      <w:r>
        <w:t xml:space="preserve"> </w:t>
      </w:r>
      <w:r>
        <w:rPr>
          <w:bCs/>
          <w:b/>
        </w:rPr>
        <w:t xml:space="preserve">giữ nguyên trên mẫu phân tích 49 nền đã khóa</w:t>
      </w:r>
      <w:r>
        <w:t xml:space="preserve"> </w:t>
      </w:r>
      <w:r>
        <w:t xml:space="preserve">(khớp bản thảo đang bình duyệt). Vì P7 dùng country fixed effects và Japan là một nền đơn lẻ có biến thiên quốc tế hóa thấp (FSTS trung bình 4,1%), việc bổ sung Japan dự kiến không làm thay đổi turning point của các nhóm khác mà chỉ tinh chỉnh ước lượng riêng Nhóm I; xác nhận định lượng cần do nhóm nghiên cứu chạy lại do-file gốc của P7 trên mẫu mở rộng.</w:t>
      </w:r>
    </w:p>
    <w:bookmarkEnd w:id="45"/>
    <w:bookmarkStart w:id="46" w:name="gradient-icrv-xác-nhận-h5"/>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tbl>
      <w:tblPr>
        <w:tblStyle w:val="FigureTable"/>
        <w:tblW w:type="auto" w:w="0"/>
        <w:tblLook w:firstRow="0" w:lastRow="0" w:firstColumn="0" w:lastColumn="0"/>
        <w:jc w:val="center"/>
      </w:tblPr>
      <w:tblGrid>
        <w:gridCol w:w="7920"/>
      </w:tblGrid>
      <w:tr>
        <w:tc>
          <w:tcPr/>
          <w:p>
            <w:pPr>
              <w:pStyle w:val="Compact"/>
              <w:jc w:val="center"/>
            </w:pPr>
            <w:r>
              <w:t xml:space="preserve">Hình 4.1. Họ đường cong I–P phụ thuộc chế độ thể chế ICRV</w:t>
            </w:r>
          </w:p>
        </w:tc>
      </w:tr>
    </w:tbl>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49"/>
    <w:bookmarkStart w:id="50" w:name="X305be4308b12f06c15c4aa0bf75053d865f81d7"/>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N = 26 —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1"/>
    <w:bookmarkEnd w:id="52"/>
    <w:bookmarkStart w:id="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3"/>
    <w:bookmarkStart w:id="54" w:name="tổng-hợp-kết-quả-theo-hệ-giả-thuyết"/>
    <w:p>
      <w:pPr>
        <w:pStyle w:val="Heading2"/>
      </w:pPr>
      <w:r>
        <w:t xml:space="preserve">4.9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54"/>
    <w:bookmarkStart w:id="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2026-06-11T17:44:44Z</dcterms:created>
  <dcterms:modified xsi:type="dcterms:W3CDTF">2026-06-11T17:44:44Z</dcterms:modified>
</cp:coreProperties>
</file>

<file path=docProps/custom.xml><?xml version="1.0" encoding="utf-8"?>
<Properties xmlns="http://schemas.openxmlformats.org/officeDocument/2006/custom-properties" xmlns:vt="http://schemas.openxmlformats.org/officeDocument/2006/docPropsVTypes"/>
</file>