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reports the first three-level meta-analytic regression analysis (MARA) of the internationalization–performance (I-P) relationship to test whether country-level digital adoption (cDAI), institutional context regime (ICRV), and Digital Paradox Lifecycle (DPL) phase moderate it across a geographically diverse corpus.</w:t>
      </w:r>
    </w:p>
    <w:p>
      <w:pPr>
        <w:pStyle w:val="BodyText"/>
      </w:pPr>
      <w:r>
        <w:rPr>
          <w:bCs/>
          <w:b/>
        </w:rPr>
        <w:t xml:space="preserve">Design/methodology/approach.</w:t>
      </w:r>
      <w:r>
        <w:t xml:space="preserve"> </w:t>
      </w:r>
      <w:r>
        <w:t xml:space="preserve">Following PRISMA 2020, a systematic review combining backward and forward citation tracking of five anchor meta-analyses with hand-search assembles an analyzed corpus of</w:t>
      </w:r>
      <w:r>
        <w:t xml:space="preserve"> </w:t>
      </w:r>
      <w:r>
        <w:rPr>
          <w:iCs/>
          <w:i/>
        </w:rPr>
        <w:t xml:space="preserve">k</w:t>
      </w:r>
      <w:r>
        <w:t xml:space="preserve"> </w:t>
      </w:r>
      <w:r>
        <w:t xml:space="preserve">= 238 studies and</w:t>
      </w:r>
      <w:r>
        <w:t xml:space="preserve"> </w:t>
      </w:r>
      <w:r>
        <w:rPr>
          <w:iCs/>
          <w:i/>
        </w:rPr>
        <w:t xml:space="preserve">K</w:t>
      </w:r>
      <w:r>
        <w:t xml:space="preserve"> </w:t>
      </w:r>
      <w:r>
        <w:t xml:space="preserve">= 288 effect sizes from 49 economies; a Web of Science and Scopus database search (1977–2026) was additionally conducted to scope a pre-registered expansion whose full-text extraction is ongoing. Three-level MARA decomposes within- and between-study heterogeneity using</w:t>
      </w:r>
      <w:r>
        <w:t xml:space="preserve"> </w:t>
      </w:r>
      <w:r>
        <w:rPr>
          <w:iCs/>
          <w:i/>
        </w:rPr>
        <w:t xml:space="preserve">metafor</w:t>
      </w:r>
      <w:r>
        <w:t xml:space="preserve">, under OSF pre-registration of the hypotheses and analysis plan.</w:t>
      </w:r>
    </w:p>
    <w:p>
      <w:pPr>
        <w:pStyle w:val="BodyText"/>
      </w:pPr>
      <w:r>
        <w:rPr>
          <w:bCs/>
          <w:b/>
        </w:rPr>
        <w:t xml:space="preserve">Findings.</w:t>
      </w:r>
      <w:r>
        <w:t xml:space="preserve"> </w:t>
      </w:r>
      <w:r>
        <w:t xml:space="preserve">The baseline pooled effect is</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The hypothesized moderators show limited support: the full-sample ICRV omnibus is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not robust, a drop-Frontier sensitivity test on the four well-populated regimes reduces it to non-significance (</w:t>
      </w:r>
      <w:r>
        <w:rPr>
          <w:iCs/>
          <w:i/>
        </w:rPr>
        <w:t xml:space="preserve">Q</w:t>
      </w:r>
      <w:r>
        <w:t xml:space="preserve">_M = 1.49,</w:t>
      </w:r>
      <w:r>
        <w:t xml:space="preserve"> </w:t>
      </w:r>
      <w:r>
        <w:rPr>
          <w:iCs/>
          <w:i/>
        </w:rPr>
        <w:t xml:space="preserve">p</w:t>
      </w:r>
      <w:r>
        <w:t xml:space="preserve"> </w:t>
      </w:r>
      <w:r>
        <w:t xml:space="preserve">= .68); cDAI and DPL moderation are non-significant throughout. The most consequential result is substantial publication bias: trim-and-fill imputes</w:t>
      </w:r>
      <w:r>
        <w:t xml:space="preserve"> </w:t>
      </w:r>
      <w:r>
        <w:rPr>
          <w:iCs/>
          <w:i/>
        </w:rPr>
        <w:t xml:space="preserve">k</w:t>
      </w:r>
      <w:r>
        <w:t xml:space="preserve"> </w:t>
      </w:r>
      <w:r>
        <w:t xml:space="preserve">= 58 missing studies, cutting the pooled effect to</w:t>
      </w:r>
      <w:r>
        <w:t xml:space="preserve"> </w:t>
      </w:r>
      <w:r>
        <w:rPr>
          <w:iCs/>
          <w:i/>
        </w:rPr>
        <w:t xml:space="preserve">r</w:t>
      </w:r>
      <w:r>
        <w:t xml:space="preserve"> </w:t>
      </w:r>
      <w:r>
        <w:t xml:space="preserve">= .035 (95% CI [.023, .048]),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w:t>
      </w:r>
    </w:p>
    <w:p>
      <w:pPr>
        <w:pStyle w:val="BodyText"/>
      </w:pPr>
      <w:r>
        <w:rPr>
          <w:bCs/>
          <w:b/>
        </w:rPr>
        <w:t xml:space="preserve">Research limitations/implications.</w:t>
      </w:r>
      <w:r>
        <w:t xml:space="preserve"> </w:t>
      </w:r>
      <w:r>
        <w:t xml:space="preserve">Sparse Frontier (</w:t>
      </w:r>
      <w:r>
        <w:rPr>
          <w:iCs/>
          <w:i/>
        </w:rPr>
        <w:t xml:space="preserve">K</w:t>
      </w:r>
      <w:r>
        <w:t xml:space="preserve"> </w:t>
      </w:r>
      <w:r>
        <w:t xml:space="preserve">= 3) and SIDS (</w:t>
      </w:r>
      <w:r>
        <w:rPr>
          <w:iCs/>
          <w:i/>
        </w:rPr>
        <w:t xml:space="preserve">K</w:t>
      </w:r>
      <w:r>
        <w:t xml:space="preserve"> </w:t>
      </w:r>
      <w:r>
        <w:t xml:space="preserve">= 0) cells limit power for between-regime tests; single-coder extraction precludes inter-coder reliability statistics. These findings reframe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Practical implications.</w:t>
      </w:r>
      <w:r>
        <w:t xml:space="preserve"> </w:t>
      </w:r>
      <w:r>
        <w:t xml:space="preserve">Managers should not expect automatic performance gains from internationalization: the bias-corrected pooled effect (</w:t>
      </w:r>
      <w:r>
        <w:rPr>
          <w:iCs/>
          <w:i/>
        </w:rPr>
        <w:t xml:space="preserve">r</w:t>
      </w:r>
      <w:r>
        <w:t xml:space="preserve"> </w:t>
      </w:r>
      <w:r>
        <w:t xml:space="preserve">= .035) is substantially smaller than published estimates suggest. National digital infrastructure alone does not amplify I-P returns; firm-level digital capability appears more decisive.</w:t>
      </w:r>
    </w:p>
    <w:p>
      <w:pPr>
        <w:pStyle w:val="BodyText"/>
      </w:pPr>
      <w:r>
        <w:rPr>
          <w:bCs/>
          <w:b/>
        </w:rPr>
        <w:t xml:space="preserve">Originality/value.</w:t>
      </w:r>
      <w:r>
        <w:t xml:space="preserve"> </w:t>
      </w:r>
      <w:r>
        <w:t xml:space="preserve">This is the first three-level MARA of the I-P literature, the first pre-registered meta-analytic test of cDAI, ICRV regime, and DPL phase as moderators, and the first systematic quantification of publication-bias attenuation in this 40-year evidence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analyzed corpus is</w:t>
      </w:r>
      <w:r>
        <w:t xml:space="preserve"> </w:t>
      </w:r>
      <w:r>
        <w:rPr>
          <w:iCs/>
          <w:i/>
        </w:rPr>
        <w:t xml:space="preserve">k</w:t>
      </w:r>
      <w:r>
        <w:t xml:space="preserve"> </w:t>
      </w:r>
      <w:r>
        <w:t xml:space="preserve">= 238 /</w:t>
      </w:r>
      <w:r>
        <w:t xml:space="preserve"> </w:t>
      </w:r>
      <w:r>
        <w:rPr>
          <w:iCs/>
          <w:i/>
        </w:rPr>
        <w:t xml:space="preserve">K</w:t>
      </w:r>
      <w:r>
        <w:t xml:space="preserve"> </w:t>
      </w:r>
      <w:r>
        <w:t xml:space="preserve">= 288 on</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w:t>
      </w:r>
      <w:r>
        <w:t xml:space="preserve"> </w:t>
      </w:r>
      <w:r>
        <w:rPr>
          <w:bCs/>
          <w:b/>
        </w:rPr>
        <w:t xml:space="preserve">Path B</w:t>
      </w:r>
      <w:r>
        <w:t xml:space="preserve"> </w:t>
      </w:r>
      <w:r>
        <w:t xml:space="preserve">is a pre-registered expansion via systematic WoS + Scopus search (20 May 2026): 3,263 records → 795 duplicates removed → 1,397 L1 excluded → 782 L2 screened over 8 rounds, yielding 785 Y / 1,694 N / 3 UNSURE; 741 of 785 Y carry DOIs, 547 await full-text extraction. Path B is not in the analyzed effects; extraction is scheduled for revision and could lift</w:t>
      </w:r>
      <w:r>
        <w:t xml:space="preserve"> </w:t>
      </w:r>
      <w:r>
        <w:rPr>
          <w:iCs/>
          <w:i/>
        </w:rPr>
        <w:t xml:space="preserve">k</w:t>
      </w:r>
      <w:r>
        <w:t xml:space="preserve"> </w:t>
      </w:r>
      <w:r>
        <w:t xml:space="preserve">to ≈ 600–700.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(by the first author),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Four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Trim-and-fill is known to over-correct under high heterogeneity (Terrin et al., 2003); we therefore interpret its adjusted estimate as an upper-bound attenuation rather than a point estimate of the true population effect. Test specifications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Five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m:oMath>
        <m:sSup>
          <m:e>
            <m:r>
              <m:t>I</m:t>
            </m:r>
          </m:e>
          <m:sup>
            <m:r>
              <m:t>2</m:t>
            </m:r>
          </m:sup>
        </m:sSup>
      </m:oMath>
      <w:r>
        <w:t xml:space="preserve"> </w:t>
      </w:r>
      <w:r>
        <w:t xml:space="preserve">= 87.8%)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m:oMath>
        <m:r>
          <m:rPr>
            <m:sty m:val="p"/>
          </m:rPr>
          <m:t>≈</m:t>
        </m:r>
      </m:oMath>
      <w:r>
        <w:t xml:space="preserve"> </w:t>
      </w:r>
      <w:r>
        <w:t xml:space="preserve">0.035.</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(Do &amp; Phan, 2025)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4"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8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1">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2">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3">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4"/>
    <w:bookmarkStart w:id="85"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85"/>
    <w:bookmarkEnd w:id="8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2" Target="https://doi.org/10.1136/bmj.n71" TargetMode="External" /><Relationship Type="http://schemas.openxmlformats.org/officeDocument/2006/relationships/hyperlink" Id="rId81" Target="https://doi.org/10.5089/9781513512242.087" TargetMode="External" /><Relationship Type="http://schemas.openxmlformats.org/officeDocument/2006/relationships/hyperlink" Id="rId80" Target="https://doi.org/10.5772/intechopen.1011012" TargetMode="External" /><Relationship Type="http://schemas.openxmlformats.org/officeDocument/2006/relationships/hyperlink" Id="rId83"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2026-05-30T15:35:42Z</dcterms:created>
  <dcterms:modified xsi:type="dcterms:W3CDTF">2026-05-30T15:35:42Z</dcterms:modified>
</cp:coreProperties>
</file>

<file path=docProps/custom.xml><?xml version="1.0" encoding="utf-8"?>
<Properties xmlns="http://schemas.openxmlformats.org/officeDocument/2006/custom-properties" xmlns:vt="http://schemas.openxmlformats.org/officeDocument/2006/docPropsVTypes"/>
</file>