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analyzed corpus is</w:t>
      </w:r>
      <w:r>
        <w:t xml:space="preserve"> </w:t>
      </w:r>
      <w:r>
        <w:rPr>
          <w:iCs/>
          <w:i/>
        </w:rPr>
        <w:t xml:space="preserve">k</w:t>
      </w:r>
      <w:r>
        <w:t xml:space="preserve"> </w:t>
      </w:r>
      <w:r>
        <w:t xml:space="preserve">= 238 /</w:t>
      </w:r>
      <w:r>
        <w:t xml:space="preserve"> </w:t>
      </w:r>
      <w:r>
        <w:rPr>
          <w:iCs/>
          <w:i/>
        </w:rPr>
        <w:t xml:space="preserve">K</w:t>
      </w:r>
      <w:r>
        <w:t xml:space="preserve"> </w:t>
      </w:r>
      <w:r>
        <w:t xml:space="preserve">= 288 on</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w:t>
      </w:r>
      <w:r>
        <w:t xml:space="preserve"> </w:t>
      </w:r>
      <w:r>
        <w:rPr>
          <w:bCs/>
          <w:b/>
        </w:rPr>
        <w:t xml:space="preserve">Path B</w:t>
      </w:r>
      <w:r>
        <w:t xml:space="preserve"> </w:t>
      </w:r>
      <w:r>
        <w:t xml:space="preserve">is a pre-registered expansion via systematic WoS + Scopus search (20 May 2026): 3,263 records → 795 duplicates removed → 1,397 L1 excluded → 782 L2 screened over 8 rounds, yielding 785 Y / 1,694 N / 3 UNSURE; 741 of 785 Y carry DOIs, 547 await full-text extraction. Path B is not in the analyzed effects; extraction is scheduled for revision and could lift</w:t>
      </w:r>
      <w:r>
        <w:t xml:space="preserve"> </w:t>
      </w:r>
      <w:r>
        <w:rPr>
          <w:iCs/>
          <w:i/>
        </w:rPr>
        <w:t xml:space="preserve">k</w:t>
      </w:r>
      <w:r>
        <w:t xml:space="preserve"> </w:t>
      </w:r>
      <w:r>
        <w:t xml:space="preserve">to ≈ 600–700.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Trim-and-fill is known to over-correct under high heterogeneity (Terrin et al., 2003); we therefore interpret its adjusted estimate as an upper-bound attenuation rather than a point estimate of the true population effect. Test specifications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2026-05-30T15:35:41Z</dcterms:created>
  <dcterms:modified xsi:type="dcterms:W3CDTF">2026-05-30T15:35:41Z</dcterms:modified>
</cp:coreProperties>
</file>

<file path=docProps/custom.xml><?xml version="1.0" encoding="utf-8"?>
<Properties xmlns="http://schemas.openxmlformats.org/officeDocument/2006/custom-properties" xmlns:vt="http://schemas.openxmlformats.org/officeDocument/2006/docPropsVTypes"/>
</file>